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02351" w:rsidRDefault="00034D15" w:rsidP="009876DB">
      <w:pPr>
        <w:tabs>
          <w:tab w:val="left" w:pos="930"/>
        </w:tabs>
        <w:jc w:val="both"/>
        <w:rPr>
          <w:rFonts w:ascii="Tahoma" w:hAnsi="Tahoma" w:cs="Tahoma"/>
          <w:b/>
          <w:sz w:val="24"/>
          <w:szCs w:val="24"/>
        </w:rPr>
      </w:pPr>
      <w:r w:rsidRPr="00034D15">
        <w:rPr>
          <w:rFonts w:ascii="Tahoma" w:hAnsi="Tahoma" w:cs="Tahoma"/>
          <w:b/>
          <w:noProof/>
          <w:sz w:val="24"/>
          <w:szCs w:val="24"/>
          <w:lang w:eastAsia="en-GB"/>
        </w:rPr>
        <mc:AlternateContent>
          <mc:Choice Requires="wps">
            <w:drawing>
              <wp:anchor distT="0" distB="0" distL="114300" distR="114300" simplePos="0" relativeHeight="251661312" behindDoc="0" locked="0" layoutInCell="1" allowOverlap="1" wp14:anchorId="0AEAFBA3" wp14:editId="73C45528">
                <wp:simplePos x="0" y="0"/>
                <wp:positionH relativeFrom="column">
                  <wp:posOffset>5666105</wp:posOffset>
                </wp:positionH>
                <wp:positionV relativeFrom="paragraph">
                  <wp:posOffset>-753110</wp:posOffset>
                </wp:positionV>
                <wp:extent cx="7810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403985"/>
                        </a:xfrm>
                        <a:prstGeom prst="rect">
                          <a:avLst/>
                        </a:prstGeom>
                        <a:noFill/>
                        <a:ln w="9525">
                          <a:noFill/>
                          <a:miter lim="800000"/>
                          <a:headEnd/>
                          <a:tailEnd/>
                        </a:ln>
                      </wps:spPr>
                      <wps:txbx>
                        <w:txbxContent>
                          <w:p w:rsidR="00034D15" w:rsidRPr="00034D15" w:rsidRDefault="00034D15">
                            <w:pPr>
                              <w:rPr>
                                <w:rFonts w:ascii="Arial" w:hAnsi="Arial" w:cs="Arial"/>
                                <w:sz w:val="32"/>
                                <w:szCs w:val="32"/>
                              </w:rPr>
                            </w:pPr>
                            <w:r w:rsidRPr="00034D15">
                              <w:rPr>
                                <w:rFonts w:ascii="Arial" w:hAnsi="Arial" w:cs="Arial"/>
                                <w:sz w:val="32"/>
                                <w:szCs w:val="32"/>
                              </w:rPr>
                              <w:t>Item 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6.15pt;margin-top:-59.3pt;width:6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" filled="f" stroked="f">
                <v:textbox style="mso-fit-shape-to-text:t">
                  <w:txbxContent>
                    <w:p w:rsidR="00034D15" w:rsidRPr="00034D15" w:rsidRDefault="00034D15">
                      <w:pPr>
                        <w:rPr>
                          <w:rFonts w:ascii="Arial" w:hAnsi="Arial" w:cs="Arial"/>
                          <w:sz w:val="32"/>
                          <w:szCs w:val="32"/>
                        </w:rPr>
                      </w:pPr>
                      <w:r w:rsidRPr="00034D15">
                        <w:rPr>
                          <w:rFonts w:ascii="Arial" w:hAnsi="Arial" w:cs="Arial"/>
                          <w:sz w:val="32"/>
                          <w:szCs w:val="32"/>
                        </w:rPr>
                        <w:t>Item 6</w:t>
                      </w:r>
                    </w:p>
                  </w:txbxContent>
                </v:textbox>
              </v:shape>
            </w:pict>
          </mc:Fallback>
        </mc:AlternateContent>
      </w:r>
      <w:r>
        <w:rPr>
          <w:rFonts w:ascii="Tahoma" w:hAnsi="Tahoma" w:cs="Tahoma"/>
          <w:noProof/>
          <w:lang w:eastAsia="en-GB"/>
        </w:rPr>
        <w:drawing>
          <wp:anchor distT="0" distB="0" distL="114300" distR="114300" simplePos="0" relativeHeight="251659264" behindDoc="0" locked="0" layoutInCell="1" allowOverlap="1" wp14:anchorId="0C132F01" wp14:editId="56FEE02D">
            <wp:simplePos x="0" y="0"/>
            <wp:positionH relativeFrom="column">
              <wp:posOffset>-28575</wp:posOffset>
            </wp:positionH>
            <wp:positionV relativeFrom="paragraph">
              <wp:posOffset>-619125</wp:posOffset>
            </wp:positionV>
            <wp:extent cx="2533650" cy="1066800"/>
            <wp:effectExtent l="0" t="0" r="0" b="0"/>
            <wp:wrapTopAndBottom/>
            <wp:docPr id="8" name="Picture 8"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 logo - landscape no pp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3365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2351" w:rsidRDefault="00602351" w:rsidP="009876DB">
      <w:pPr>
        <w:tabs>
          <w:tab w:val="left" w:pos="930"/>
        </w:tabs>
        <w:jc w:val="both"/>
        <w:rPr>
          <w:rFonts w:ascii="Tahoma" w:hAnsi="Tahoma" w:cs="Tahoma"/>
          <w:b/>
          <w:sz w:val="24"/>
          <w:szCs w:val="24"/>
        </w:rPr>
      </w:pPr>
    </w:p>
    <w:p w:rsidR="00602351" w:rsidRDefault="00034D15" w:rsidP="009876DB">
      <w:pPr>
        <w:tabs>
          <w:tab w:val="left" w:pos="930"/>
        </w:tabs>
        <w:jc w:val="both"/>
        <w:rPr>
          <w:rFonts w:ascii="Tahoma" w:hAnsi="Tahoma" w:cs="Tahoma"/>
          <w:b/>
          <w:sz w:val="24"/>
          <w:szCs w:val="24"/>
        </w:rPr>
      </w:pPr>
      <w:r w:rsidRPr="00034D15">
        <w:rPr>
          <w:rFonts w:ascii="Tahoma" w:hAnsi="Tahoma" w:cs="Tahoma"/>
          <w:b/>
          <w:sz w:val="24"/>
          <w:szCs w:val="24"/>
        </w:rPr>
        <w:t>Report of the Chief Constable to the Chair and Members of the Audit Committee</w:t>
      </w:r>
    </w:p>
    <w:p w:rsidR="009876DB" w:rsidRDefault="00905E99" w:rsidP="009876DB">
      <w:pPr>
        <w:tabs>
          <w:tab w:val="left" w:pos="930"/>
        </w:tabs>
        <w:jc w:val="both"/>
        <w:rPr>
          <w:rFonts w:ascii="Tahoma" w:hAnsi="Tahoma" w:cs="Tahoma"/>
          <w:b/>
          <w:sz w:val="24"/>
          <w:szCs w:val="24"/>
        </w:rPr>
      </w:pPr>
      <w:r>
        <w:rPr>
          <w:rFonts w:ascii="Tahoma" w:hAnsi="Tahoma" w:cs="Tahoma"/>
          <w:b/>
          <w:sz w:val="24"/>
          <w:szCs w:val="24"/>
        </w:rPr>
        <w:t xml:space="preserve">14 </w:t>
      </w:r>
      <w:r w:rsidR="009876DB">
        <w:rPr>
          <w:rFonts w:ascii="Tahoma" w:hAnsi="Tahoma" w:cs="Tahoma"/>
          <w:b/>
          <w:sz w:val="24"/>
          <w:szCs w:val="24"/>
        </w:rPr>
        <w:t>December 2017</w:t>
      </w:r>
    </w:p>
    <w:p w:rsidR="009876DB" w:rsidRDefault="009876DB" w:rsidP="009876DB">
      <w:pPr>
        <w:jc w:val="both"/>
        <w:rPr>
          <w:rFonts w:ascii="Tahoma" w:hAnsi="Tahoma" w:cs="Tahoma"/>
          <w:b/>
          <w:sz w:val="24"/>
          <w:szCs w:val="24"/>
        </w:rPr>
      </w:pPr>
    </w:p>
    <w:p w:rsidR="009876DB" w:rsidRDefault="009876DB" w:rsidP="009876DB">
      <w:pPr>
        <w:jc w:val="both"/>
        <w:rPr>
          <w:rFonts w:ascii="Tahoma" w:hAnsi="Tahoma" w:cs="Tahoma"/>
          <w:b/>
          <w:sz w:val="24"/>
          <w:szCs w:val="24"/>
        </w:rPr>
      </w:pPr>
      <w:r>
        <w:rPr>
          <w:rFonts w:ascii="Tahoma" w:hAnsi="Tahoma" w:cs="Tahoma"/>
          <w:b/>
          <w:sz w:val="24"/>
          <w:szCs w:val="24"/>
        </w:rPr>
        <w:t xml:space="preserve">Executive &amp; Presenting Officer: Mr Iain Spittal, Chief Constable  </w:t>
      </w:r>
    </w:p>
    <w:p w:rsidR="009876DB" w:rsidRDefault="009876DB" w:rsidP="009876DB">
      <w:pPr>
        <w:jc w:val="both"/>
        <w:rPr>
          <w:rFonts w:ascii="Tahoma" w:hAnsi="Tahoma" w:cs="Tahoma"/>
          <w:b/>
          <w:sz w:val="24"/>
          <w:szCs w:val="24"/>
        </w:rPr>
      </w:pPr>
    </w:p>
    <w:p w:rsidR="009876DB" w:rsidRDefault="009876DB" w:rsidP="009876DB">
      <w:pPr>
        <w:jc w:val="both"/>
        <w:rPr>
          <w:rFonts w:ascii="Tahoma" w:hAnsi="Tahoma" w:cs="Tahoma"/>
          <w:b/>
          <w:sz w:val="24"/>
          <w:szCs w:val="24"/>
        </w:rPr>
      </w:pPr>
      <w:r>
        <w:rPr>
          <w:rFonts w:ascii="Tahoma" w:hAnsi="Tahoma" w:cs="Tahoma"/>
          <w:b/>
          <w:sz w:val="24"/>
          <w:szCs w:val="24"/>
        </w:rPr>
        <w:t>Status: For information</w:t>
      </w:r>
    </w:p>
    <w:p w:rsidR="009876DB" w:rsidRDefault="009876DB" w:rsidP="009876DB">
      <w:pPr>
        <w:jc w:val="both"/>
        <w:rPr>
          <w:rFonts w:ascii="Tahoma" w:hAnsi="Tahoma" w:cs="Tahoma"/>
          <w:b/>
          <w:sz w:val="24"/>
          <w:szCs w:val="24"/>
        </w:rPr>
      </w:pPr>
    </w:p>
    <w:p w:rsidR="009876DB" w:rsidRDefault="009876DB" w:rsidP="009876DB">
      <w:pPr>
        <w:jc w:val="both"/>
        <w:rPr>
          <w:rFonts w:ascii="Tahoma" w:hAnsi="Tahoma" w:cs="Tahoma"/>
          <w:b/>
          <w:sz w:val="28"/>
          <w:szCs w:val="28"/>
        </w:rPr>
      </w:pPr>
      <w:r>
        <w:rPr>
          <w:rFonts w:ascii="Tahoma" w:hAnsi="Tahoma" w:cs="Tahoma"/>
          <w:b/>
          <w:sz w:val="28"/>
          <w:szCs w:val="28"/>
        </w:rPr>
        <w:t>Civil Claims Statistics</w:t>
      </w:r>
    </w:p>
    <w:p w:rsidR="009876DB" w:rsidRDefault="009876DB" w:rsidP="009876DB">
      <w:pPr>
        <w:jc w:val="both"/>
        <w:rPr>
          <w:rFonts w:ascii="Tahoma" w:hAnsi="Tahoma" w:cs="Tahoma"/>
          <w:b/>
          <w:sz w:val="24"/>
          <w:szCs w:val="24"/>
        </w:rPr>
      </w:pPr>
    </w:p>
    <w:p w:rsidR="009876DB" w:rsidRDefault="009876DB" w:rsidP="009876DB">
      <w:pPr>
        <w:jc w:val="both"/>
        <w:rPr>
          <w:rFonts w:ascii="Tahoma" w:hAnsi="Tahoma" w:cs="Tahoma"/>
          <w:b/>
          <w:sz w:val="24"/>
          <w:szCs w:val="24"/>
        </w:rPr>
      </w:pPr>
      <w:r>
        <w:rPr>
          <w:rFonts w:ascii="Tahoma" w:hAnsi="Tahoma" w:cs="Tahoma"/>
          <w:b/>
          <w:sz w:val="24"/>
          <w:szCs w:val="24"/>
        </w:rPr>
        <w:t>1</w:t>
      </w:r>
      <w:r>
        <w:rPr>
          <w:rFonts w:ascii="Tahoma" w:hAnsi="Tahoma" w:cs="Tahoma"/>
          <w:b/>
          <w:sz w:val="24"/>
          <w:szCs w:val="24"/>
        </w:rPr>
        <w:tab/>
        <w:t>Purpose</w:t>
      </w:r>
    </w:p>
    <w:p w:rsidR="009876DB" w:rsidRDefault="009876DB" w:rsidP="009876DB">
      <w:pPr>
        <w:jc w:val="both"/>
        <w:rPr>
          <w:rFonts w:ascii="Tahoma" w:hAnsi="Tahoma" w:cs="Tahoma"/>
          <w:sz w:val="24"/>
          <w:szCs w:val="24"/>
        </w:rPr>
      </w:pPr>
    </w:p>
    <w:p w:rsidR="009876DB" w:rsidRDefault="009876DB" w:rsidP="009876DB">
      <w:pPr>
        <w:numPr>
          <w:ilvl w:val="1"/>
          <w:numId w:val="1"/>
        </w:numPr>
        <w:jc w:val="both"/>
        <w:rPr>
          <w:rFonts w:ascii="Tahoma" w:hAnsi="Tahoma" w:cs="Tahoma"/>
          <w:sz w:val="24"/>
          <w:szCs w:val="24"/>
        </w:rPr>
      </w:pPr>
      <w:r>
        <w:rPr>
          <w:rFonts w:ascii="Tahoma" w:hAnsi="Tahoma" w:cs="Tahoma"/>
          <w:sz w:val="24"/>
          <w:szCs w:val="24"/>
        </w:rPr>
        <w:t>This is a report covering the period 1</w:t>
      </w:r>
      <w:r w:rsidRPr="004F501C">
        <w:rPr>
          <w:rFonts w:ascii="Tahoma" w:hAnsi="Tahoma" w:cs="Tahoma"/>
          <w:sz w:val="24"/>
          <w:szCs w:val="24"/>
          <w:vertAlign w:val="superscript"/>
        </w:rPr>
        <w:t>st</w:t>
      </w:r>
      <w:r>
        <w:rPr>
          <w:rFonts w:ascii="Tahoma" w:hAnsi="Tahoma" w:cs="Tahoma"/>
          <w:sz w:val="24"/>
          <w:szCs w:val="24"/>
        </w:rPr>
        <w:t xml:space="preserve"> March 2017 to 31</w:t>
      </w:r>
      <w:r w:rsidRPr="00546376">
        <w:rPr>
          <w:rFonts w:ascii="Tahoma" w:hAnsi="Tahoma" w:cs="Tahoma"/>
          <w:sz w:val="24"/>
          <w:szCs w:val="24"/>
          <w:vertAlign w:val="superscript"/>
        </w:rPr>
        <w:t>st</w:t>
      </w:r>
      <w:r>
        <w:rPr>
          <w:rFonts w:ascii="Tahoma" w:hAnsi="Tahoma" w:cs="Tahoma"/>
          <w:sz w:val="24"/>
          <w:szCs w:val="24"/>
        </w:rPr>
        <w:t xml:space="preserve"> August 2017</w:t>
      </w:r>
    </w:p>
    <w:p w:rsidR="009876DB" w:rsidRDefault="009876DB" w:rsidP="009876DB">
      <w:pPr>
        <w:ind w:left="720"/>
        <w:jc w:val="both"/>
        <w:rPr>
          <w:rFonts w:ascii="Tahoma" w:hAnsi="Tahoma" w:cs="Tahoma"/>
          <w:sz w:val="24"/>
          <w:szCs w:val="24"/>
        </w:rPr>
      </w:pPr>
      <w:r>
        <w:rPr>
          <w:rFonts w:ascii="Tahoma" w:hAnsi="Tahoma" w:cs="Tahoma"/>
          <w:sz w:val="24"/>
          <w:szCs w:val="24"/>
        </w:rPr>
        <w:t xml:space="preserve">(6 months) and its purpose is to advise Members of the number and types of civil claims against the Force received during the period and the amount paid out for those claims finalised during the period together with reasons for settlement.   </w:t>
      </w:r>
    </w:p>
    <w:p w:rsidR="009876DB" w:rsidRDefault="009876DB" w:rsidP="009876DB">
      <w:pPr>
        <w:jc w:val="both"/>
        <w:rPr>
          <w:rFonts w:ascii="Tahoma" w:hAnsi="Tahoma" w:cs="Tahoma"/>
          <w:sz w:val="24"/>
          <w:szCs w:val="24"/>
        </w:rPr>
      </w:pPr>
    </w:p>
    <w:p w:rsidR="009876DB" w:rsidRDefault="009876DB" w:rsidP="009876DB">
      <w:pPr>
        <w:jc w:val="both"/>
        <w:rPr>
          <w:rFonts w:ascii="Tahoma" w:hAnsi="Tahoma" w:cs="Tahoma"/>
          <w:b/>
          <w:sz w:val="24"/>
          <w:szCs w:val="24"/>
        </w:rPr>
      </w:pPr>
      <w:r>
        <w:rPr>
          <w:rFonts w:ascii="Tahoma" w:hAnsi="Tahoma" w:cs="Tahoma"/>
          <w:b/>
          <w:sz w:val="24"/>
          <w:szCs w:val="24"/>
        </w:rPr>
        <w:t>2.</w:t>
      </w:r>
      <w:r>
        <w:rPr>
          <w:rFonts w:ascii="Tahoma" w:hAnsi="Tahoma" w:cs="Tahoma"/>
          <w:b/>
          <w:sz w:val="24"/>
          <w:szCs w:val="24"/>
        </w:rPr>
        <w:tab/>
        <w:t>Recommendations</w:t>
      </w:r>
    </w:p>
    <w:p w:rsidR="009876DB" w:rsidRDefault="009876DB" w:rsidP="009876DB">
      <w:pPr>
        <w:jc w:val="both"/>
        <w:rPr>
          <w:rFonts w:ascii="Tahoma" w:hAnsi="Tahoma" w:cs="Tahoma"/>
          <w:sz w:val="24"/>
          <w:szCs w:val="24"/>
        </w:rPr>
      </w:pPr>
    </w:p>
    <w:p w:rsidR="009876DB" w:rsidRDefault="009876DB" w:rsidP="009876DB">
      <w:pPr>
        <w:jc w:val="both"/>
        <w:rPr>
          <w:rFonts w:ascii="Tahoma" w:hAnsi="Tahoma" w:cs="Tahoma"/>
          <w:sz w:val="24"/>
          <w:szCs w:val="24"/>
        </w:rPr>
      </w:pPr>
      <w:r>
        <w:rPr>
          <w:rFonts w:ascii="Tahoma" w:hAnsi="Tahoma" w:cs="Tahoma"/>
          <w:sz w:val="24"/>
          <w:szCs w:val="24"/>
        </w:rPr>
        <w:t>2.1</w:t>
      </w:r>
      <w:r>
        <w:rPr>
          <w:rFonts w:ascii="Tahoma" w:hAnsi="Tahoma" w:cs="Tahoma"/>
          <w:sz w:val="24"/>
          <w:szCs w:val="24"/>
        </w:rPr>
        <w:tab/>
        <w:t>It is recommended that Members note the content of the report.</w:t>
      </w:r>
    </w:p>
    <w:p w:rsidR="009876DB" w:rsidRDefault="009876DB" w:rsidP="009876DB">
      <w:pPr>
        <w:jc w:val="both"/>
        <w:rPr>
          <w:rFonts w:ascii="Tahoma" w:hAnsi="Tahoma" w:cs="Tahoma"/>
          <w:sz w:val="24"/>
          <w:szCs w:val="24"/>
        </w:rPr>
      </w:pPr>
    </w:p>
    <w:p w:rsidR="009876DB" w:rsidRDefault="009876DB" w:rsidP="009876DB">
      <w:pPr>
        <w:jc w:val="both"/>
        <w:rPr>
          <w:rFonts w:ascii="Tahoma" w:hAnsi="Tahoma" w:cs="Tahoma"/>
          <w:b/>
          <w:sz w:val="24"/>
          <w:szCs w:val="24"/>
        </w:rPr>
      </w:pPr>
      <w:r>
        <w:rPr>
          <w:rFonts w:ascii="Tahoma" w:hAnsi="Tahoma" w:cs="Tahoma"/>
          <w:b/>
          <w:sz w:val="24"/>
          <w:szCs w:val="24"/>
        </w:rPr>
        <w:t>3.</w:t>
      </w:r>
      <w:r>
        <w:rPr>
          <w:rFonts w:ascii="Tahoma" w:hAnsi="Tahoma" w:cs="Tahoma"/>
          <w:b/>
          <w:sz w:val="24"/>
          <w:szCs w:val="24"/>
        </w:rPr>
        <w:tab/>
        <w:t xml:space="preserve">Number &amp; Types of Claims Received </w:t>
      </w:r>
    </w:p>
    <w:p w:rsidR="009876DB" w:rsidRDefault="009876DB" w:rsidP="009876DB">
      <w:pPr>
        <w:jc w:val="both"/>
        <w:rPr>
          <w:rFonts w:ascii="Tahoma" w:hAnsi="Tahoma" w:cs="Tahoma"/>
          <w:sz w:val="24"/>
          <w:szCs w:val="24"/>
        </w:rPr>
      </w:pPr>
    </w:p>
    <w:p w:rsidR="009876DB" w:rsidRDefault="009876DB" w:rsidP="009876DB">
      <w:pPr>
        <w:ind w:left="720" w:hanging="720"/>
        <w:jc w:val="both"/>
        <w:rPr>
          <w:rFonts w:ascii="Tahoma" w:hAnsi="Tahoma" w:cs="Tahoma"/>
          <w:sz w:val="24"/>
          <w:szCs w:val="24"/>
        </w:rPr>
      </w:pPr>
      <w:r>
        <w:rPr>
          <w:rFonts w:ascii="Tahoma" w:hAnsi="Tahoma" w:cs="Tahoma"/>
          <w:sz w:val="24"/>
          <w:szCs w:val="24"/>
        </w:rPr>
        <w:t xml:space="preserve">3.1 </w:t>
      </w:r>
      <w:r>
        <w:rPr>
          <w:rFonts w:ascii="Tahoma" w:hAnsi="Tahoma" w:cs="Tahoma"/>
          <w:sz w:val="24"/>
          <w:szCs w:val="24"/>
        </w:rPr>
        <w:tab/>
      </w:r>
      <w:r w:rsidRPr="00B8030A">
        <w:rPr>
          <w:rFonts w:ascii="Tahoma" w:hAnsi="Tahoma" w:cs="Tahoma"/>
          <w:sz w:val="24"/>
          <w:szCs w:val="24"/>
        </w:rPr>
        <w:t xml:space="preserve">There were </w:t>
      </w:r>
      <w:r>
        <w:rPr>
          <w:rFonts w:ascii="Tahoma" w:hAnsi="Tahoma" w:cs="Tahoma"/>
          <w:sz w:val="24"/>
          <w:szCs w:val="24"/>
        </w:rPr>
        <w:t>54</w:t>
      </w:r>
      <w:r w:rsidRPr="00B8030A">
        <w:rPr>
          <w:rFonts w:ascii="Tahoma" w:hAnsi="Tahoma" w:cs="Tahoma"/>
          <w:sz w:val="24"/>
          <w:szCs w:val="24"/>
        </w:rPr>
        <w:t xml:space="preserve"> claims received during the period which is a </w:t>
      </w:r>
      <w:r>
        <w:rPr>
          <w:rFonts w:ascii="Tahoma" w:hAnsi="Tahoma" w:cs="Tahoma"/>
          <w:sz w:val="24"/>
          <w:szCs w:val="24"/>
        </w:rPr>
        <w:t>2</w:t>
      </w:r>
      <w:r w:rsidR="0065264E">
        <w:rPr>
          <w:rFonts w:ascii="Tahoma" w:hAnsi="Tahoma" w:cs="Tahoma"/>
          <w:sz w:val="24"/>
          <w:szCs w:val="24"/>
        </w:rPr>
        <w:t>6</w:t>
      </w:r>
      <w:r w:rsidRPr="001F2948">
        <w:rPr>
          <w:rFonts w:ascii="Tahoma" w:hAnsi="Tahoma" w:cs="Tahoma"/>
          <w:sz w:val="24"/>
          <w:szCs w:val="24"/>
        </w:rPr>
        <w:t>%</w:t>
      </w:r>
      <w:r w:rsidRPr="00B8030A">
        <w:rPr>
          <w:rFonts w:ascii="Tahoma" w:hAnsi="Tahoma" w:cs="Tahoma"/>
          <w:sz w:val="24"/>
          <w:szCs w:val="24"/>
        </w:rPr>
        <w:t xml:space="preserve"> </w:t>
      </w:r>
      <w:r>
        <w:rPr>
          <w:rFonts w:ascii="Tahoma" w:hAnsi="Tahoma" w:cs="Tahoma"/>
          <w:sz w:val="24"/>
          <w:szCs w:val="24"/>
        </w:rPr>
        <w:t>increase o</w:t>
      </w:r>
      <w:r w:rsidRPr="00B8030A">
        <w:rPr>
          <w:rFonts w:ascii="Tahoma" w:hAnsi="Tahoma" w:cs="Tahoma"/>
          <w:sz w:val="24"/>
          <w:szCs w:val="24"/>
        </w:rPr>
        <w:t xml:space="preserve">n last year’s </w:t>
      </w:r>
      <w:r>
        <w:rPr>
          <w:rFonts w:ascii="Tahoma" w:hAnsi="Tahoma" w:cs="Tahoma"/>
          <w:sz w:val="24"/>
          <w:szCs w:val="24"/>
        </w:rPr>
        <w:t>43</w:t>
      </w:r>
      <w:r w:rsidRPr="00B8030A">
        <w:rPr>
          <w:rFonts w:ascii="Tahoma" w:hAnsi="Tahoma" w:cs="Tahoma"/>
          <w:sz w:val="24"/>
          <w:szCs w:val="24"/>
        </w:rPr>
        <w:t xml:space="preserve">. </w:t>
      </w:r>
    </w:p>
    <w:p w:rsidR="00602351" w:rsidRDefault="00602351" w:rsidP="009876DB">
      <w:pPr>
        <w:ind w:left="720" w:hanging="720"/>
        <w:jc w:val="both"/>
        <w:rPr>
          <w:rFonts w:ascii="Tahoma" w:hAnsi="Tahoma" w:cs="Tahoma"/>
          <w:color w:val="FFC000"/>
          <w:szCs w:val="24"/>
        </w:rPr>
      </w:pPr>
    </w:p>
    <w:p w:rsidR="00602351" w:rsidRDefault="0014356D" w:rsidP="00034D15">
      <w:pPr>
        <w:jc w:val="center"/>
        <w:rPr>
          <w:rFonts w:ascii="Tahoma" w:hAnsi="Tahoma" w:cs="Tahoma"/>
          <w:color w:val="4F81BD"/>
          <w:szCs w:val="24"/>
        </w:rPr>
      </w:pPr>
      <w:r>
        <w:rPr>
          <w:noProof/>
          <w:lang w:eastAsia="en-GB"/>
        </w:rPr>
        <w:drawing>
          <wp:inline distT="0" distB="0" distL="0" distR="0" wp14:anchorId="680B2417" wp14:editId="0E74703C">
            <wp:extent cx="5106389" cy="3040083"/>
            <wp:effectExtent l="0" t="0" r="18415" b="2730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876DB" w:rsidRPr="004B68C4" w:rsidRDefault="009876DB" w:rsidP="009876DB">
      <w:pPr>
        <w:ind w:left="720" w:hanging="720"/>
        <w:jc w:val="both"/>
        <w:rPr>
          <w:rFonts w:ascii="Tahoma" w:hAnsi="Tahoma" w:cs="Tahoma"/>
          <w:sz w:val="24"/>
          <w:szCs w:val="24"/>
        </w:rPr>
      </w:pPr>
      <w:r>
        <w:rPr>
          <w:rFonts w:ascii="Tahoma" w:hAnsi="Tahoma" w:cs="Tahoma"/>
          <w:sz w:val="24"/>
          <w:szCs w:val="24"/>
        </w:rPr>
        <w:lastRenderedPageBreak/>
        <w:t>3.2</w:t>
      </w:r>
      <w:r>
        <w:rPr>
          <w:rFonts w:ascii="Tahoma" w:hAnsi="Tahoma" w:cs="Tahoma"/>
          <w:sz w:val="24"/>
          <w:szCs w:val="24"/>
        </w:rPr>
        <w:tab/>
        <w:t xml:space="preserve">Employer’s Liability claims are those made by Force employees and police officers following injuries sustained at work. </w:t>
      </w:r>
      <w:r w:rsidRPr="004B68C4">
        <w:rPr>
          <w:rFonts w:ascii="Tahoma" w:hAnsi="Tahoma" w:cs="Tahoma"/>
          <w:sz w:val="24"/>
          <w:szCs w:val="24"/>
        </w:rPr>
        <w:t xml:space="preserve">  </w:t>
      </w:r>
    </w:p>
    <w:p w:rsidR="009876DB" w:rsidRPr="004B68C4" w:rsidRDefault="009876DB" w:rsidP="009876DB">
      <w:pPr>
        <w:jc w:val="both"/>
        <w:rPr>
          <w:rFonts w:ascii="Tahoma" w:hAnsi="Tahoma" w:cs="Tahoma"/>
          <w:sz w:val="24"/>
          <w:szCs w:val="24"/>
        </w:rPr>
      </w:pPr>
    </w:p>
    <w:p w:rsidR="009876DB" w:rsidRDefault="009876DB" w:rsidP="009876DB">
      <w:pPr>
        <w:ind w:left="720" w:hanging="720"/>
        <w:jc w:val="both"/>
        <w:rPr>
          <w:rFonts w:ascii="Tahoma" w:hAnsi="Tahoma" w:cs="Tahoma"/>
          <w:sz w:val="24"/>
          <w:szCs w:val="24"/>
        </w:rPr>
      </w:pPr>
      <w:r>
        <w:rPr>
          <w:rFonts w:ascii="Tahoma" w:hAnsi="Tahoma" w:cs="Tahoma"/>
          <w:sz w:val="24"/>
          <w:szCs w:val="24"/>
        </w:rPr>
        <w:t>3.3</w:t>
      </w:r>
      <w:r>
        <w:rPr>
          <w:rFonts w:ascii="Tahoma" w:hAnsi="Tahoma" w:cs="Tahoma"/>
          <w:sz w:val="24"/>
          <w:szCs w:val="24"/>
        </w:rPr>
        <w:tab/>
        <w:t xml:space="preserve">Public Liability claims include those made by members of the public who are accidentally injured or whose property is accidentally damaged / lost </w:t>
      </w:r>
      <w:r w:rsidR="00061ECA">
        <w:rPr>
          <w:rFonts w:ascii="Tahoma" w:hAnsi="Tahoma" w:cs="Tahoma"/>
          <w:sz w:val="24"/>
          <w:szCs w:val="24"/>
        </w:rPr>
        <w:t xml:space="preserve">as a result of police activities.  </w:t>
      </w:r>
      <w:r>
        <w:rPr>
          <w:rFonts w:ascii="Tahoma" w:hAnsi="Tahoma" w:cs="Tahoma"/>
          <w:sz w:val="24"/>
          <w:szCs w:val="24"/>
        </w:rPr>
        <w:t>They also include those made by arrested persons alleging false imprisonment, assault, malicious prosecution, misfeasance and trespass to property. (This is not an exhaustive list.)</w:t>
      </w:r>
      <w:r w:rsidR="00061ECA">
        <w:rPr>
          <w:rFonts w:ascii="Tahoma" w:hAnsi="Tahoma" w:cs="Tahoma"/>
          <w:sz w:val="24"/>
          <w:szCs w:val="24"/>
        </w:rPr>
        <w:t xml:space="preserve">  More recently, this category has been used to record claims relating to </w:t>
      </w:r>
      <w:r w:rsidR="006410DB">
        <w:rPr>
          <w:rFonts w:ascii="Tahoma" w:hAnsi="Tahoma" w:cs="Tahoma"/>
          <w:sz w:val="24"/>
          <w:szCs w:val="24"/>
        </w:rPr>
        <w:t xml:space="preserve">overtime </w:t>
      </w:r>
      <w:r w:rsidR="00061ECA">
        <w:rPr>
          <w:rFonts w:ascii="Tahoma" w:hAnsi="Tahoma" w:cs="Tahoma"/>
          <w:sz w:val="24"/>
          <w:szCs w:val="24"/>
        </w:rPr>
        <w:t>payments</w:t>
      </w:r>
      <w:r w:rsidR="00905E99">
        <w:rPr>
          <w:rFonts w:ascii="Tahoma" w:hAnsi="Tahoma" w:cs="Tahoma"/>
          <w:sz w:val="24"/>
          <w:szCs w:val="24"/>
        </w:rPr>
        <w:t xml:space="preserve"> allegedly due under </w:t>
      </w:r>
      <w:r w:rsidR="006410DB">
        <w:rPr>
          <w:rFonts w:ascii="Tahoma" w:hAnsi="Tahoma" w:cs="Tahoma"/>
          <w:sz w:val="24"/>
          <w:szCs w:val="24"/>
        </w:rPr>
        <w:t>Police R</w:t>
      </w:r>
      <w:r w:rsidR="00905E99">
        <w:rPr>
          <w:rFonts w:ascii="Tahoma" w:hAnsi="Tahoma" w:cs="Tahoma"/>
          <w:sz w:val="24"/>
          <w:szCs w:val="24"/>
        </w:rPr>
        <w:t>egulations</w:t>
      </w:r>
      <w:r w:rsidR="00061ECA">
        <w:rPr>
          <w:rFonts w:ascii="Tahoma" w:hAnsi="Tahoma" w:cs="Tahoma"/>
          <w:sz w:val="24"/>
          <w:szCs w:val="24"/>
        </w:rPr>
        <w:t>.</w:t>
      </w:r>
    </w:p>
    <w:p w:rsidR="007B7AA8" w:rsidRDefault="007B7AA8" w:rsidP="009876DB">
      <w:pPr>
        <w:ind w:left="720" w:hanging="720"/>
        <w:jc w:val="both"/>
        <w:rPr>
          <w:rFonts w:ascii="Tahoma" w:hAnsi="Tahoma" w:cs="Tahoma"/>
          <w:sz w:val="24"/>
          <w:szCs w:val="24"/>
        </w:rPr>
      </w:pPr>
    </w:p>
    <w:p w:rsidR="007B7AA8" w:rsidRDefault="007B7AA8" w:rsidP="007B7AA8">
      <w:pPr>
        <w:ind w:left="720" w:hanging="720"/>
        <w:jc w:val="both"/>
        <w:rPr>
          <w:rFonts w:ascii="Tahoma" w:hAnsi="Tahoma" w:cs="Tahoma"/>
          <w:sz w:val="24"/>
          <w:szCs w:val="24"/>
        </w:rPr>
      </w:pPr>
      <w:r>
        <w:rPr>
          <w:rFonts w:ascii="Tahoma" w:hAnsi="Tahoma" w:cs="Tahoma"/>
          <w:sz w:val="24"/>
          <w:szCs w:val="24"/>
        </w:rPr>
        <w:t>3.4</w:t>
      </w:r>
      <w:r>
        <w:rPr>
          <w:rFonts w:ascii="Tahoma" w:hAnsi="Tahoma" w:cs="Tahoma"/>
          <w:sz w:val="24"/>
          <w:szCs w:val="24"/>
        </w:rPr>
        <w:tab/>
        <w:t>Motor Liability claims are those made by members of the public and police officers following damage and injuries sustained in road accidents involving a police vehicle.</w:t>
      </w:r>
    </w:p>
    <w:p w:rsidR="007B7AA8" w:rsidRDefault="007B7AA8" w:rsidP="007B7AA8">
      <w:pPr>
        <w:jc w:val="both"/>
        <w:rPr>
          <w:rFonts w:ascii="Tahoma" w:hAnsi="Tahoma" w:cs="Tahoma"/>
          <w:sz w:val="24"/>
          <w:szCs w:val="24"/>
        </w:rPr>
      </w:pPr>
    </w:p>
    <w:p w:rsidR="007B7AA8" w:rsidRDefault="007B7AA8" w:rsidP="007B7AA8">
      <w:pPr>
        <w:ind w:left="720" w:hanging="720"/>
        <w:jc w:val="both"/>
        <w:rPr>
          <w:rFonts w:ascii="Tahoma" w:hAnsi="Tahoma" w:cs="Tahoma"/>
          <w:sz w:val="24"/>
          <w:szCs w:val="24"/>
        </w:rPr>
      </w:pPr>
      <w:r>
        <w:rPr>
          <w:rFonts w:ascii="Tahoma" w:hAnsi="Tahoma" w:cs="Tahoma"/>
          <w:sz w:val="24"/>
          <w:szCs w:val="24"/>
        </w:rPr>
        <w:t>3.5</w:t>
      </w:r>
      <w:r>
        <w:rPr>
          <w:rFonts w:ascii="Tahoma" w:hAnsi="Tahoma" w:cs="Tahoma"/>
          <w:sz w:val="24"/>
          <w:szCs w:val="24"/>
        </w:rPr>
        <w:tab/>
        <w:t xml:space="preserve">The time limit for bringing claims involving injury is three years and, for those not involving injury, it is six years. The Court can sometimes extend the time limit. </w:t>
      </w:r>
    </w:p>
    <w:p w:rsidR="00602351" w:rsidRDefault="00602351" w:rsidP="007B7AA8">
      <w:pPr>
        <w:ind w:left="720" w:hanging="720"/>
        <w:jc w:val="both"/>
        <w:rPr>
          <w:rFonts w:ascii="Tahoma" w:hAnsi="Tahoma" w:cs="Tahoma"/>
          <w:sz w:val="24"/>
          <w:szCs w:val="24"/>
        </w:rPr>
      </w:pPr>
    </w:p>
    <w:p w:rsidR="001B7373" w:rsidRDefault="007B7AA8" w:rsidP="007B7AA8">
      <w:pPr>
        <w:ind w:left="720" w:hanging="720"/>
        <w:jc w:val="both"/>
        <w:rPr>
          <w:rFonts w:ascii="Tahoma" w:hAnsi="Tahoma" w:cs="Tahoma"/>
          <w:sz w:val="24"/>
          <w:szCs w:val="24"/>
        </w:rPr>
      </w:pPr>
      <w:r w:rsidRPr="007B7AA8">
        <w:rPr>
          <w:rFonts w:ascii="Tahoma" w:hAnsi="Tahoma" w:cs="Tahoma"/>
          <w:sz w:val="24"/>
          <w:szCs w:val="24"/>
        </w:rPr>
        <w:t xml:space="preserve">3.6 </w:t>
      </w:r>
      <w:r w:rsidRPr="007B7AA8">
        <w:rPr>
          <w:rFonts w:ascii="Tahoma" w:hAnsi="Tahoma" w:cs="Tahoma"/>
          <w:sz w:val="24"/>
          <w:szCs w:val="24"/>
        </w:rPr>
        <w:tab/>
      </w:r>
      <w:r w:rsidR="00D11B2D">
        <w:rPr>
          <w:rFonts w:ascii="Tahoma" w:hAnsi="Tahoma" w:cs="Tahoma"/>
          <w:sz w:val="24"/>
          <w:szCs w:val="24"/>
        </w:rPr>
        <w:t xml:space="preserve">The following chart notes </w:t>
      </w:r>
      <w:r w:rsidR="00905E99">
        <w:rPr>
          <w:rFonts w:ascii="Tahoma" w:hAnsi="Tahoma" w:cs="Tahoma"/>
          <w:sz w:val="24"/>
          <w:szCs w:val="24"/>
        </w:rPr>
        <w:t>the incident dates of those c</w:t>
      </w:r>
      <w:r w:rsidR="00D11B2D">
        <w:rPr>
          <w:rFonts w:ascii="Tahoma" w:hAnsi="Tahoma" w:cs="Tahoma"/>
          <w:sz w:val="24"/>
          <w:szCs w:val="24"/>
        </w:rPr>
        <w:t xml:space="preserve">laims received during the period. </w:t>
      </w:r>
      <w:r w:rsidR="00905E99">
        <w:rPr>
          <w:rFonts w:ascii="Tahoma" w:hAnsi="Tahoma" w:cs="Tahoma"/>
          <w:sz w:val="24"/>
          <w:szCs w:val="24"/>
        </w:rPr>
        <w:t>For those claims which span a number of years, t</w:t>
      </w:r>
      <w:r w:rsidR="001B7373">
        <w:rPr>
          <w:rFonts w:ascii="Tahoma" w:hAnsi="Tahoma" w:cs="Tahoma"/>
          <w:sz w:val="24"/>
          <w:szCs w:val="24"/>
        </w:rPr>
        <w:t xml:space="preserve">he incident date has been recorded as the earliest date of matters complained </w:t>
      </w:r>
      <w:r w:rsidR="00905E99">
        <w:rPr>
          <w:rFonts w:ascii="Tahoma" w:hAnsi="Tahoma" w:cs="Tahoma"/>
          <w:sz w:val="24"/>
          <w:szCs w:val="24"/>
        </w:rPr>
        <w:t>of</w:t>
      </w:r>
      <w:r w:rsidR="001B7373">
        <w:rPr>
          <w:rFonts w:ascii="Tahoma" w:hAnsi="Tahoma" w:cs="Tahoma"/>
          <w:sz w:val="24"/>
          <w:szCs w:val="24"/>
        </w:rPr>
        <w:t>.</w:t>
      </w:r>
    </w:p>
    <w:p w:rsidR="00AB2C28" w:rsidRDefault="00AB2C28" w:rsidP="007B7AA8">
      <w:pPr>
        <w:ind w:left="720" w:hanging="720"/>
        <w:jc w:val="both"/>
        <w:rPr>
          <w:rFonts w:ascii="Tahoma" w:hAnsi="Tahoma" w:cs="Tahoma"/>
          <w:sz w:val="24"/>
          <w:szCs w:val="24"/>
        </w:rPr>
      </w:pPr>
    </w:p>
    <w:p w:rsidR="00AB2C28" w:rsidRDefault="00AB2C28" w:rsidP="007B7AA8">
      <w:pPr>
        <w:ind w:left="720" w:hanging="720"/>
        <w:jc w:val="both"/>
        <w:rPr>
          <w:rFonts w:ascii="Tahoma" w:hAnsi="Tahoma" w:cs="Tahoma"/>
          <w:sz w:val="24"/>
          <w:szCs w:val="24"/>
        </w:rPr>
      </w:pPr>
    </w:p>
    <w:p w:rsidR="00AB2C28" w:rsidRDefault="00AB2C28" w:rsidP="007B7AA8">
      <w:pPr>
        <w:ind w:left="720" w:hanging="720"/>
        <w:jc w:val="both"/>
        <w:rPr>
          <w:rFonts w:ascii="Tahoma" w:hAnsi="Tahoma" w:cs="Tahoma"/>
          <w:sz w:val="24"/>
          <w:szCs w:val="24"/>
        </w:rPr>
      </w:pPr>
    </w:p>
    <w:p w:rsidR="001B7373" w:rsidRDefault="00AB2C28" w:rsidP="007B7AA8">
      <w:pPr>
        <w:ind w:left="720" w:hanging="720"/>
        <w:jc w:val="both"/>
        <w:rPr>
          <w:rFonts w:ascii="Tahoma" w:hAnsi="Tahoma" w:cs="Tahoma"/>
          <w:sz w:val="24"/>
          <w:szCs w:val="24"/>
        </w:rPr>
      </w:pPr>
      <w:r>
        <w:rPr>
          <w:noProof/>
          <w:lang w:eastAsia="en-GB"/>
        </w:rPr>
        <w:drawing>
          <wp:inline distT="0" distB="0" distL="0" distR="0" wp14:anchorId="6254E041" wp14:editId="21970695">
            <wp:extent cx="5734050" cy="3609975"/>
            <wp:effectExtent l="0" t="0" r="1905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B7373" w:rsidRDefault="001B7373" w:rsidP="007B7AA8">
      <w:pPr>
        <w:ind w:left="720" w:hanging="720"/>
        <w:jc w:val="both"/>
        <w:rPr>
          <w:rFonts w:ascii="Tahoma" w:hAnsi="Tahoma" w:cs="Tahoma"/>
          <w:sz w:val="24"/>
          <w:szCs w:val="24"/>
        </w:rPr>
      </w:pPr>
    </w:p>
    <w:p w:rsidR="007B7AA8" w:rsidRPr="007B7AA8" w:rsidRDefault="007B7AA8" w:rsidP="007B7AA8">
      <w:pPr>
        <w:ind w:left="720" w:hanging="720"/>
        <w:jc w:val="both"/>
        <w:rPr>
          <w:rFonts w:ascii="Tahoma" w:hAnsi="Tahoma" w:cs="Tahoma"/>
          <w:sz w:val="24"/>
          <w:szCs w:val="24"/>
        </w:rPr>
      </w:pPr>
      <w:r w:rsidRPr="007B7AA8">
        <w:rPr>
          <w:rFonts w:ascii="Tahoma" w:hAnsi="Tahoma" w:cs="Tahoma"/>
          <w:sz w:val="24"/>
          <w:szCs w:val="24"/>
        </w:rPr>
        <w:t xml:space="preserve"> </w:t>
      </w:r>
    </w:p>
    <w:p w:rsidR="007B7AA8" w:rsidRDefault="007B7AA8" w:rsidP="00602351">
      <w:pPr>
        <w:jc w:val="center"/>
      </w:pPr>
    </w:p>
    <w:p w:rsidR="00602351" w:rsidRPr="004B68C4" w:rsidRDefault="00602351" w:rsidP="00602351">
      <w:pPr>
        <w:jc w:val="both"/>
        <w:rPr>
          <w:rFonts w:ascii="Tahoma" w:hAnsi="Tahoma" w:cs="Tahoma"/>
          <w:b/>
          <w:sz w:val="24"/>
          <w:szCs w:val="24"/>
        </w:rPr>
      </w:pPr>
      <w:r w:rsidRPr="004B68C4">
        <w:rPr>
          <w:rFonts w:ascii="Tahoma" w:hAnsi="Tahoma" w:cs="Tahoma"/>
          <w:b/>
          <w:sz w:val="24"/>
          <w:szCs w:val="24"/>
        </w:rPr>
        <w:lastRenderedPageBreak/>
        <w:t xml:space="preserve">Numbers of Claims Finalised &amp; Results </w:t>
      </w:r>
    </w:p>
    <w:p w:rsidR="00602351" w:rsidRPr="004B68C4" w:rsidRDefault="00602351" w:rsidP="00602351">
      <w:pPr>
        <w:jc w:val="both"/>
        <w:rPr>
          <w:rFonts w:ascii="Tahoma" w:hAnsi="Tahoma" w:cs="Tahoma"/>
          <w:sz w:val="24"/>
          <w:szCs w:val="24"/>
          <w:u w:val="single"/>
        </w:rPr>
      </w:pPr>
    </w:p>
    <w:p w:rsidR="00602351" w:rsidRDefault="00602351" w:rsidP="00602351">
      <w:pPr>
        <w:ind w:left="720" w:hanging="720"/>
        <w:jc w:val="both"/>
        <w:rPr>
          <w:rFonts w:ascii="Tahoma" w:hAnsi="Tahoma" w:cs="Tahoma"/>
          <w:sz w:val="24"/>
          <w:szCs w:val="24"/>
        </w:rPr>
      </w:pPr>
      <w:r w:rsidRPr="004B68C4">
        <w:rPr>
          <w:rFonts w:ascii="Tahoma" w:hAnsi="Tahoma" w:cs="Tahoma"/>
          <w:sz w:val="24"/>
          <w:szCs w:val="24"/>
        </w:rPr>
        <w:t>4.1</w:t>
      </w:r>
      <w:r w:rsidRPr="004B68C4">
        <w:rPr>
          <w:rFonts w:ascii="Tahoma" w:hAnsi="Tahoma" w:cs="Tahoma"/>
          <w:sz w:val="24"/>
          <w:szCs w:val="24"/>
        </w:rPr>
        <w:tab/>
        <w:t xml:space="preserve">Of the </w:t>
      </w:r>
      <w:r>
        <w:rPr>
          <w:rFonts w:ascii="Tahoma" w:hAnsi="Tahoma" w:cs="Tahoma"/>
          <w:sz w:val="24"/>
          <w:szCs w:val="24"/>
        </w:rPr>
        <w:t>64</w:t>
      </w:r>
      <w:r w:rsidR="000A1318">
        <w:rPr>
          <w:rFonts w:ascii="Tahoma" w:hAnsi="Tahoma" w:cs="Tahoma"/>
          <w:sz w:val="24"/>
          <w:szCs w:val="24"/>
        </w:rPr>
        <w:t xml:space="preserve"> claims</w:t>
      </w:r>
      <w:r w:rsidRPr="004B68C4">
        <w:rPr>
          <w:rFonts w:ascii="Tahoma" w:hAnsi="Tahoma" w:cs="Tahoma"/>
          <w:sz w:val="24"/>
          <w:szCs w:val="24"/>
        </w:rPr>
        <w:t xml:space="preserve"> finalised during the period, </w:t>
      </w:r>
      <w:r>
        <w:rPr>
          <w:rFonts w:ascii="Tahoma" w:hAnsi="Tahoma" w:cs="Tahoma"/>
          <w:sz w:val="24"/>
          <w:szCs w:val="24"/>
        </w:rPr>
        <w:t>63</w:t>
      </w:r>
      <w:r w:rsidRPr="004B68C4">
        <w:rPr>
          <w:rFonts w:ascii="Tahoma" w:hAnsi="Tahoma" w:cs="Tahoma"/>
          <w:sz w:val="24"/>
          <w:szCs w:val="24"/>
        </w:rPr>
        <w:t>% w</w:t>
      </w:r>
      <w:r>
        <w:rPr>
          <w:rFonts w:ascii="Tahoma" w:hAnsi="Tahoma" w:cs="Tahoma"/>
          <w:sz w:val="24"/>
          <w:szCs w:val="24"/>
        </w:rPr>
        <w:t>ere successfully defended.</w:t>
      </w:r>
      <w:r w:rsidR="001F2615">
        <w:rPr>
          <w:rFonts w:ascii="Tahoma" w:hAnsi="Tahoma" w:cs="Tahoma"/>
          <w:sz w:val="24"/>
          <w:szCs w:val="24"/>
        </w:rPr>
        <w:t xml:space="preserve"> Successfully defended means those claims that the Chief Constable successfully defended at trial or those claims that were withdrawn before trial. </w:t>
      </w:r>
      <w:r>
        <w:rPr>
          <w:rFonts w:ascii="Tahoma" w:hAnsi="Tahoma" w:cs="Tahoma"/>
          <w:sz w:val="24"/>
          <w:szCs w:val="24"/>
        </w:rPr>
        <w:t xml:space="preserve"> This is to be compared with last year’s figures when 60% were successfully defended.</w:t>
      </w:r>
      <w:r w:rsidR="000A1318">
        <w:rPr>
          <w:rFonts w:ascii="Tahoma" w:hAnsi="Tahoma" w:cs="Tahoma"/>
          <w:sz w:val="24"/>
          <w:szCs w:val="24"/>
        </w:rPr>
        <w:t xml:space="preserve"> Claims</w:t>
      </w:r>
      <w:r w:rsidR="001F2615">
        <w:rPr>
          <w:rFonts w:ascii="Tahoma" w:hAnsi="Tahoma" w:cs="Tahoma"/>
          <w:sz w:val="24"/>
          <w:szCs w:val="24"/>
        </w:rPr>
        <w:t xml:space="preserve"> finalised during the period were not necessarily received during the period and may have been received during a previous period.</w:t>
      </w:r>
      <w:r>
        <w:rPr>
          <w:rFonts w:ascii="Tahoma" w:hAnsi="Tahoma" w:cs="Tahoma"/>
          <w:sz w:val="24"/>
          <w:szCs w:val="24"/>
        </w:rPr>
        <w:t xml:space="preserve"> </w:t>
      </w:r>
    </w:p>
    <w:p w:rsidR="004201C7" w:rsidRDefault="004201C7" w:rsidP="00602351">
      <w:pPr>
        <w:ind w:left="720" w:hanging="720"/>
        <w:jc w:val="both"/>
        <w:rPr>
          <w:rFonts w:ascii="Tahoma" w:hAnsi="Tahoma" w:cs="Tahoma"/>
          <w:sz w:val="24"/>
          <w:szCs w:val="24"/>
        </w:rPr>
      </w:pPr>
    </w:p>
    <w:p w:rsidR="004201C7" w:rsidRDefault="004201C7" w:rsidP="00602351">
      <w:pPr>
        <w:ind w:left="720" w:hanging="720"/>
        <w:jc w:val="both"/>
        <w:rPr>
          <w:rFonts w:ascii="Tahoma" w:hAnsi="Tahoma" w:cs="Tahoma"/>
          <w:color w:val="FFC000"/>
          <w:sz w:val="24"/>
          <w:szCs w:val="24"/>
        </w:rPr>
      </w:pPr>
    </w:p>
    <w:p w:rsidR="00602351" w:rsidRDefault="00602351" w:rsidP="00602351">
      <w:pPr>
        <w:jc w:val="both"/>
        <w:rPr>
          <w:rFonts w:ascii="Tahoma" w:hAnsi="Tahoma" w:cs="Tahoma"/>
          <w:color w:val="FFC000"/>
          <w:szCs w:val="24"/>
        </w:rPr>
      </w:pPr>
    </w:p>
    <w:p w:rsidR="00602351" w:rsidRDefault="00D51604" w:rsidP="00602351">
      <w:pPr>
        <w:jc w:val="both"/>
        <w:rPr>
          <w:rFonts w:ascii="Tahoma" w:hAnsi="Tahoma" w:cs="Tahoma"/>
          <w:color w:val="FFC000"/>
          <w:sz w:val="24"/>
          <w:szCs w:val="24"/>
        </w:rPr>
      </w:pPr>
      <w:r>
        <w:rPr>
          <w:noProof/>
          <w:lang w:eastAsia="en-GB"/>
        </w:rPr>
        <w:drawing>
          <wp:inline distT="0" distB="0" distL="0" distR="0" wp14:anchorId="658C5357" wp14:editId="471211EB">
            <wp:extent cx="5731510" cy="2996796"/>
            <wp:effectExtent l="0" t="0" r="21590" b="1333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21DBD" w:rsidRDefault="00D21DBD"/>
    <w:p w:rsidR="004201C7" w:rsidRDefault="004201C7"/>
    <w:p w:rsidR="004201C7" w:rsidRDefault="004201C7"/>
    <w:p w:rsidR="004201C7" w:rsidRDefault="004201C7"/>
    <w:p w:rsidR="004201C7" w:rsidRDefault="004201C7"/>
    <w:p w:rsidR="00D51604" w:rsidRDefault="00D51604">
      <w:r>
        <w:rPr>
          <w:noProof/>
          <w:lang w:eastAsia="en-GB"/>
        </w:rPr>
        <w:drawing>
          <wp:inline distT="0" distB="0" distL="0" distR="0" wp14:anchorId="077E371B" wp14:editId="2CBC5DDF">
            <wp:extent cx="5731510" cy="2911068"/>
            <wp:effectExtent l="0" t="0" r="21590" b="228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201C7" w:rsidRDefault="004201C7"/>
    <w:p w:rsidR="004201C7" w:rsidRDefault="004201C7"/>
    <w:p w:rsidR="002F59D6" w:rsidRDefault="002F59D6" w:rsidP="002F59D6">
      <w:pPr>
        <w:ind w:left="720" w:hanging="720"/>
        <w:jc w:val="both"/>
        <w:rPr>
          <w:rFonts w:ascii="Tahoma" w:hAnsi="Tahoma" w:cs="Tahoma"/>
          <w:sz w:val="24"/>
          <w:szCs w:val="24"/>
        </w:rPr>
      </w:pPr>
      <w:r>
        <w:rPr>
          <w:rFonts w:ascii="Tahoma" w:hAnsi="Tahoma" w:cs="Tahoma"/>
          <w:sz w:val="24"/>
          <w:szCs w:val="24"/>
        </w:rPr>
        <w:t>4.2</w:t>
      </w:r>
      <w:r>
        <w:rPr>
          <w:rFonts w:ascii="Tahoma" w:hAnsi="Tahoma" w:cs="Tahoma"/>
          <w:sz w:val="24"/>
          <w:szCs w:val="24"/>
        </w:rPr>
        <w:tab/>
        <w:t>In relation to the</w:t>
      </w:r>
      <w:r>
        <w:rPr>
          <w:rFonts w:ascii="Tahoma" w:hAnsi="Tahoma" w:cs="Tahoma"/>
          <w:color w:val="4F81BD"/>
          <w:sz w:val="24"/>
          <w:szCs w:val="24"/>
        </w:rPr>
        <w:t xml:space="preserve"> </w:t>
      </w:r>
      <w:r>
        <w:rPr>
          <w:rFonts w:ascii="Tahoma" w:hAnsi="Tahoma" w:cs="Tahoma"/>
          <w:sz w:val="24"/>
          <w:szCs w:val="24"/>
        </w:rPr>
        <w:t>24</w:t>
      </w:r>
      <w:r w:rsidRPr="004B68C4">
        <w:rPr>
          <w:rFonts w:ascii="Tahoma" w:hAnsi="Tahoma" w:cs="Tahoma"/>
          <w:sz w:val="24"/>
          <w:szCs w:val="24"/>
        </w:rPr>
        <w:t xml:space="preserve"> </w:t>
      </w:r>
      <w:r w:rsidR="000A1318">
        <w:rPr>
          <w:rFonts w:ascii="Tahoma" w:hAnsi="Tahoma" w:cs="Tahoma"/>
          <w:sz w:val="24"/>
          <w:szCs w:val="24"/>
        </w:rPr>
        <w:t>claims</w:t>
      </w:r>
      <w:r>
        <w:rPr>
          <w:rFonts w:ascii="Tahoma" w:hAnsi="Tahoma" w:cs="Tahoma"/>
          <w:sz w:val="24"/>
          <w:szCs w:val="24"/>
        </w:rPr>
        <w:t xml:space="preserve"> which were settled, the reasons for settlement were as follows:</w:t>
      </w:r>
    </w:p>
    <w:p w:rsidR="002F59D6" w:rsidRDefault="002F59D6" w:rsidP="002F59D6">
      <w:pPr>
        <w:ind w:left="720"/>
        <w:jc w:val="both"/>
        <w:rPr>
          <w:rFonts w:ascii="Tahoma" w:hAnsi="Tahoma" w:cs="Tahoma"/>
          <w:color w:val="FFC000"/>
          <w:sz w:val="24"/>
          <w:szCs w:val="24"/>
        </w:rPr>
      </w:pPr>
    </w:p>
    <w:p w:rsidR="004201C7" w:rsidRDefault="004201C7" w:rsidP="002F59D6">
      <w:pPr>
        <w:ind w:left="720"/>
        <w:jc w:val="both"/>
        <w:rPr>
          <w:rFonts w:ascii="Tahoma" w:hAnsi="Tahoma" w:cs="Tahoma"/>
          <w:color w:val="FFC000"/>
          <w:sz w:val="24"/>
          <w:szCs w:val="24"/>
        </w:rPr>
      </w:pPr>
    </w:p>
    <w:p w:rsidR="004201C7" w:rsidRDefault="004201C7" w:rsidP="002F59D6">
      <w:pPr>
        <w:ind w:left="720"/>
        <w:jc w:val="both"/>
        <w:rPr>
          <w:rFonts w:ascii="Tahoma" w:hAnsi="Tahoma" w:cs="Tahoma"/>
          <w:color w:val="FFC000"/>
          <w:sz w:val="24"/>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8"/>
        <w:gridCol w:w="1326"/>
      </w:tblGrid>
      <w:tr w:rsidR="002F59D6" w:rsidTr="006F503C">
        <w:tc>
          <w:tcPr>
            <w:tcW w:w="6368" w:type="dxa"/>
            <w:tcBorders>
              <w:top w:val="single" w:sz="4" w:space="0" w:color="auto"/>
              <w:left w:val="single" w:sz="4" w:space="0" w:color="auto"/>
              <w:bottom w:val="single" w:sz="4" w:space="0" w:color="auto"/>
              <w:right w:val="single" w:sz="4" w:space="0" w:color="auto"/>
            </w:tcBorders>
            <w:hideMark/>
          </w:tcPr>
          <w:p w:rsidR="002F59D6" w:rsidRDefault="002F59D6" w:rsidP="006F503C">
            <w:pPr>
              <w:jc w:val="both"/>
              <w:rPr>
                <w:rFonts w:ascii="Tahoma" w:hAnsi="Tahoma" w:cs="Tahoma"/>
                <w:b/>
                <w:sz w:val="24"/>
                <w:szCs w:val="24"/>
              </w:rPr>
            </w:pPr>
            <w:r>
              <w:rPr>
                <w:rFonts w:ascii="Tahoma" w:hAnsi="Tahoma" w:cs="Tahoma"/>
                <w:b/>
                <w:sz w:val="24"/>
                <w:szCs w:val="24"/>
              </w:rPr>
              <w:t>Reasons for settlement</w:t>
            </w:r>
            <w:r>
              <w:rPr>
                <w:rStyle w:val="FootnoteReference"/>
                <w:rFonts w:ascii="Tahoma" w:hAnsi="Tahoma" w:cs="Tahoma"/>
                <w:b/>
                <w:sz w:val="24"/>
                <w:szCs w:val="24"/>
              </w:rPr>
              <w:footnoteReference w:id="1"/>
            </w:r>
          </w:p>
        </w:tc>
        <w:tc>
          <w:tcPr>
            <w:tcW w:w="1326" w:type="dxa"/>
            <w:tcBorders>
              <w:top w:val="single" w:sz="4" w:space="0" w:color="auto"/>
              <w:left w:val="single" w:sz="4" w:space="0" w:color="auto"/>
              <w:bottom w:val="single" w:sz="4" w:space="0" w:color="auto"/>
              <w:right w:val="single" w:sz="4" w:space="0" w:color="auto"/>
            </w:tcBorders>
            <w:hideMark/>
          </w:tcPr>
          <w:p w:rsidR="002F59D6" w:rsidRDefault="002F59D6" w:rsidP="006F503C">
            <w:pPr>
              <w:jc w:val="both"/>
              <w:rPr>
                <w:rFonts w:ascii="Tahoma" w:hAnsi="Tahoma" w:cs="Tahoma"/>
                <w:b/>
                <w:sz w:val="24"/>
                <w:szCs w:val="24"/>
              </w:rPr>
            </w:pPr>
            <w:r>
              <w:rPr>
                <w:rFonts w:ascii="Tahoma" w:hAnsi="Tahoma" w:cs="Tahoma"/>
                <w:b/>
                <w:sz w:val="24"/>
                <w:szCs w:val="24"/>
              </w:rPr>
              <w:t>No. of Cases</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ind w:left="1440" w:hanging="1440"/>
              <w:rPr>
                <w:rFonts w:ascii="Tahoma" w:hAnsi="Tahoma" w:cs="Tahoma"/>
                <w:sz w:val="24"/>
                <w:szCs w:val="24"/>
              </w:rPr>
            </w:pPr>
            <w:r>
              <w:rPr>
                <w:rFonts w:ascii="Tahoma" w:hAnsi="Tahoma" w:cs="Tahoma"/>
                <w:sz w:val="24"/>
                <w:szCs w:val="24"/>
              </w:rPr>
              <w:t>Defective equipment causing personal injury to officer</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2</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jc w:val="both"/>
              <w:rPr>
                <w:rFonts w:ascii="Tahoma" w:hAnsi="Tahoma" w:cs="Tahoma"/>
                <w:sz w:val="24"/>
                <w:szCs w:val="24"/>
              </w:rPr>
            </w:pPr>
            <w:r>
              <w:rPr>
                <w:rFonts w:ascii="Tahoma" w:hAnsi="Tahoma" w:cs="Tahoma"/>
                <w:sz w:val="24"/>
                <w:szCs w:val="24"/>
              </w:rPr>
              <w:t>RTC rear shunt causing personal injury</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1</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jc w:val="both"/>
              <w:rPr>
                <w:rFonts w:ascii="Tahoma" w:hAnsi="Tahoma" w:cs="Tahoma"/>
                <w:sz w:val="24"/>
                <w:szCs w:val="24"/>
              </w:rPr>
            </w:pPr>
            <w:r>
              <w:rPr>
                <w:rFonts w:ascii="Tahoma" w:hAnsi="Tahoma" w:cs="Tahoma"/>
                <w:sz w:val="24"/>
                <w:szCs w:val="24"/>
              </w:rPr>
              <w:t>RTC rear shunt causing damage only</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2</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jc w:val="both"/>
              <w:rPr>
                <w:rFonts w:ascii="Tahoma" w:hAnsi="Tahoma" w:cs="Tahoma"/>
                <w:sz w:val="24"/>
                <w:szCs w:val="24"/>
              </w:rPr>
            </w:pPr>
            <w:r>
              <w:rPr>
                <w:rFonts w:ascii="Tahoma" w:hAnsi="Tahoma" w:cs="Tahoma"/>
                <w:sz w:val="24"/>
                <w:szCs w:val="24"/>
              </w:rPr>
              <w:t>RTC reverse into 3</w:t>
            </w:r>
            <w:r w:rsidRPr="00E102D5">
              <w:rPr>
                <w:rFonts w:ascii="Tahoma" w:hAnsi="Tahoma" w:cs="Tahoma"/>
                <w:sz w:val="24"/>
                <w:szCs w:val="24"/>
                <w:vertAlign w:val="superscript"/>
              </w:rPr>
              <w:t>rd</w:t>
            </w:r>
            <w:r>
              <w:rPr>
                <w:rFonts w:ascii="Tahoma" w:hAnsi="Tahoma" w:cs="Tahoma"/>
                <w:sz w:val="24"/>
                <w:szCs w:val="24"/>
              </w:rPr>
              <w:t xml:space="preserve"> party causing damage only</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6</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jc w:val="both"/>
              <w:rPr>
                <w:rFonts w:ascii="Tahoma" w:hAnsi="Tahoma" w:cs="Tahoma"/>
                <w:sz w:val="24"/>
                <w:szCs w:val="24"/>
              </w:rPr>
            </w:pPr>
            <w:r>
              <w:rPr>
                <w:rFonts w:ascii="Tahoma" w:hAnsi="Tahoma" w:cs="Tahoma"/>
                <w:sz w:val="24"/>
                <w:szCs w:val="24"/>
              </w:rPr>
              <w:t>RTC reverse into 3</w:t>
            </w:r>
            <w:r w:rsidRPr="00E102D5">
              <w:rPr>
                <w:rFonts w:ascii="Tahoma" w:hAnsi="Tahoma" w:cs="Tahoma"/>
                <w:sz w:val="24"/>
                <w:szCs w:val="24"/>
                <w:vertAlign w:val="superscript"/>
              </w:rPr>
              <w:t>rd</w:t>
            </w:r>
            <w:r>
              <w:rPr>
                <w:rFonts w:ascii="Tahoma" w:hAnsi="Tahoma" w:cs="Tahoma"/>
                <w:sz w:val="24"/>
                <w:szCs w:val="24"/>
              </w:rPr>
              <w:t xml:space="preserve"> party causing personal injury</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1</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jc w:val="both"/>
              <w:rPr>
                <w:rFonts w:ascii="Tahoma" w:hAnsi="Tahoma" w:cs="Tahoma"/>
                <w:sz w:val="24"/>
                <w:szCs w:val="24"/>
              </w:rPr>
            </w:pPr>
            <w:r>
              <w:rPr>
                <w:rFonts w:ascii="Tahoma" w:hAnsi="Tahoma" w:cs="Tahoma"/>
                <w:sz w:val="24"/>
                <w:szCs w:val="24"/>
              </w:rPr>
              <w:t>RTC police vehicle hit traffic cone and caused it to strike 3</w:t>
            </w:r>
            <w:r w:rsidRPr="00970923">
              <w:rPr>
                <w:rFonts w:ascii="Tahoma" w:hAnsi="Tahoma" w:cs="Tahoma"/>
                <w:sz w:val="24"/>
                <w:szCs w:val="24"/>
                <w:vertAlign w:val="superscript"/>
              </w:rPr>
              <w:t>rd</w:t>
            </w:r>
            <w:r>
              <w:rPr>
                <w:rFonts w:ascii="Tahoma" w:hAnsi="Tahoma" w:cs="Tahoma"/>
                <w:sz w:val="24"/>
                <w:szCs w:val="24"/>
              </w:rPr>
              <w:t xml:space="preserve"> party vehicle, causing damage</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1</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jc w:val="both"/>
              <w:rPr>
                <w:rFonts w:ascii="Tahoma" w:hAnsi="Tahoma" w:cs="Tahoma"/>
                <w:sz w:val="24"/>
                <w:szCs w:val="24"/>
              </w:rPr>
            </w:pPr>
            <w:r>
              <w:rPr>
                <w:rFonts w:ascii="Tahoma" w:hAnsi="Tahoma" w:cs="Tahoma"/>
                <w:sz w:val="24"/>
                <w:szCs w:val="24"/>
              </w:rPr>
              <w:t>RTC fail to give way at traffic lights, causing personal injury</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1</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jc w:val="both"/>
              <w:rPr>
                <w:rFonts w:ascii="Tahoma" w:hAnsi="Tahoma" w:cs="Tahoma"/>
                <w:sz w:val="24"/>
                <w:szCs w:val="24"/>
              </w:rPr>
            </w:pPr>
            <w:r>
              <w:rPr>
                <w:rFonts w:ascii="Tahoma" w:hAnsi="Tahoma" w:cs="Tahoma"/>
                <w:sz w:val="24"/>
                <w:szCs w:val="24"/>
              </w:rPr>
              <w:t>RTC fail to give way at traffic lights, damage only</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1</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jc w:val="both"/>
              <w:rPr>
                <w:rFonts w:ascii="Tahoma" w:hAnsi="Tahoma" w:cs="Tahoma"/>
                <w:sz w:val="24"/>
                <w:szCs w:val="24"/>
              </w:rPr>
            </w:pPr>
            <w:r>
              <w:rPr>
                <w:rFonts w:ascii="Tahoma" w:hAnsi="Tahoma" w:cs="Tahoma"/>
                <w:sz w:val="24"/>
                <w:szCs w:val="24"/>
              </w:rPr>
              <w:t>RTC fail to give way at roundabout, causing personal injury</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1</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2F59D6" w:rsidRDefault="002F59D6" w:rsidP="006F503C">
            <w:pPr>
              <w:jc w:val="both"/>
              <w:rPr>
                <w:rFonts w:ascii="Tahoma" w:hAnsi="Tahoma" w:cs="Tahoma"/>
                <w:sz w:val="24"/>
                <w:szCs w:val="24"/>
              </w:rPr>
            </w:pPr>
            <w:r>
              <w:rPr>
                <w:rFonts w:ascii="Tahoma" w:hAnsi="Tahoma" w:cs="Tahoma"/>
                <w:sz w:val="24"/>
                <w:szCs w:val="24"/>
              </w:rPr>
              <w:t>False imprisonment – arresting officer did not have the necessary grounds for suspicion</w:t>
            </w:r>
          </w:p>
        </w:tc>
        <w:tc>
          <w:tcPr>
            <w:tcW w:w="1326" w:type="dxa"/>
            <w:tcBorders>
              <w:top w:val="single" w:sz="4" w:space="0" w:color="auto"/>
              <w:left w:val="single" w:sz="4" w:space="0" w:color="auto"/>
              <w:bottom w:val="single" w:sz="4" w:space="0" w:color="auto"/>
              <w:right w:val="single" w:sz="4" w:space="0" w:color="auto"/>
            </w:tcBorders>
          </w:tcPr>
          <w:p w:rsidR="002F59D6" w:rsidRDefault="002F59D6" w:rsidP="006F503C">
            <w:pPr>
              <w:jc w:val="center"/>
              <w:rPr>
                <w:rFonts w:ascii="Tahoma" w:hAnsi="Tahoma" w:cs="Tahoma"/>
                <w:sz w:val="24"/>
                <w:szCs w:val="24"/>
              </w:rPr>
            </w:pPr>
            <w:r>
              <w:rPr>
                <w:rFonts w:ascii="Tahoma" w:hAnsi="Tahoma" w:cs="Tahoma"/>
                <w:sz w:val="24"/>
                <w:szCs w:val="24"/>
              </w:rPr>
              <w:t>1</w:t>
            </w:r>
          </w:p>
        </w:tc>
      </w:tr>
      <w:tr w:rsidR="002F59D6" w:rsidTr="006F503C">
        <w:tc>
          <w:tcPr>
            <w:tcW w:w="6368" w:type="dxa"/>
            <w:tcBorders>
              <w:top w:val="single" w:sz="4" w:space="0" w:color="auto"/>
              <w:left w:val="single" w:sz="4" w:space="0" w:color="auto"/>
              <w:bottom w:val="single" w:sz="4" w:space="0" w:color="auto"/>
              <w:right w:val="single" w:sz="4" w:space="0" w:color="auto"/>
            </w:tcBorders>
          </w:tcPr>
          <w:p w:rsidR="000307D1" w:rsidRDefault="002F59D6" w:rsidP="006F503C">
            <w:pPr>
              <w:ind w:left="1440" w:hanging="1440"/>
              <w:rPr>
                <w:rFonts w:ascii="Tahoma" w:hAnsi="Tahoma" w:cs="Tahoma"/>
                <w:sz w:val="24"/>
                <w:szCs w:val="24"/>
              </w:rPr>
            </w:pPr>
            <w:r w:rsidRPr="00C52AC9">
              <w:rPr>
                <w:rFonts w:ascii="Tahoma" w:hAnsi="Tahoma" w:cs="Tahoma"/>
                <w:sz w:val="24"/>
                <w:szCs w:val="24"/>
              </w:rPr>
              <w:t xml:space="preserve">False Imprisonment/Assault – </w:t>
            </w:r>
            <w:r w:rsidR="000307D1">
              <w:rPr>
                <w:rFonts w:ascii="Tahoma" w:hAnsi="Tahoma" w:cs="Tahoma"/>
                <w:sz w:val="24"/>
                <w:szCs w:val="24"/>
              </w:rPr>
              <w:t>Force used in the course of</w:t>
            </w:r>
          </w:p>
          <w:p w:rsidR="002F59D6" w:rsidRDefault="002F59D6" w:rsidP="006F503C">
            <w:pPr>
              <w:ind w:left="1440" w:hanging="1440"/>
              <w:rPr>
                <w:rFonts w:ascii="Tahoma" w:hAnsi="Tahoma" w:cs="Tahoma"/>
                <w:sz w:val="24"/>
                <w:szCs w:val="24"/>
              </w:rPr>
            </w:pPr>
            <w:r>
              <w:rPr>
                <w:rFonts w:ascii="Tahoma" w:hAnsi="Tahoma" w:cs="Tahoma"/>
                <w:sz w:val="24"/>
                <w:szCs w:val="24"/>
              </w:rPr>
              <w:t>an arrest exacerbated pre-existing injury</w:t>
            </w:r>
            <w:r w:rsidRPr="00C52AC9">
              <w:rPr>
                <w:rFonts w:ascii="Tahoma" w:hAnsi="Tahoma" w:cs="Tahoma"/>
                <w:sz w:val="24"/>
                <w:szCs w:val="24"/>
              </w:rPr>
              <w:t xml:space="preserve"> </w:t>
            </w:r>
          </w:p>
        </w:tc>
        <w:tc>
          <w:tcPr>
            <w:tcW w:w="1326" w:type="dxa"/>
            <w:tcBorders>
              <w:top w:val="single" w:sz="4" w:space="0" w:color="auto"/>
              <w:left w:val="single" w:sz="4" w:space="0" w:color="auto"/>
              <w:bottom w:val="single" w:sz="4" w:space="0" w:color="auto"/>
              <w:right w:val="single" w:sz="4" w:space="0" w:color="auto"/>
            </w:tcBorders>
          </w:tcPr>
          <w:p w:rsidR="002F59D6" w:rsidRPr="00671A9E" w:rsidRDefault="002F59D6" w:rsidP="006F503C">
            <w:pPr>
              <w:jc w:val="center"/>
              <w:rPr>
                <w:rFonts w:ascii="Tahoma" w:hAnsi="Tahoma" w:cs="Tahoma"/>
                <w:sz w:val="24"/>
                <w:szCs w:val="24"/>
              </w:rPr>
            </w:pPr>
            <w:r>
              <w:rPr>
                <w:rFonts w:ascii="Tahoma" w:hAnsi="Tahoma" w:cs="Tahoma"/>
                <w:sz w:val="24"/>
                <w:szCs w:val="24"/>
              </w:rPr>
              <w:t>1</w:t>
            </w:r>
          </w:p>
        </w:tc>
      </w:tr>
      <w:tr w:rsidR="000307D1" w:rsidTr="006F503C">
        <w:tc>
          <w:tcPr>
            <w:tcW w:w="6368" w:type="dxa"/>
            <w:tcBorders>
              <w:top w:val="single" w:sz="4" w:space="0" w:color="auto"/>
              <w:left w:val="single" w:sz="4" w:space="0" w:color="auto"/>
              <w:bottom w:val="single" w:sz="4" w:space="0" w:color="auto"/>
              <w:right w:val="single" w:sz="4" w:space="0" w:color="auto"/>
            </w:tcBorders>
          </w:tcPr>
          <w:p w:rsidR="000307D1" w:rsidRPr="007B59FC" w:rsidRDefault="000307D1" w:rsidP="002A11DB">
            <w:pPr>
              <w:ind w:left="1440" w:hanging="1440"/>
              <w:rPr>
                <w:rFonts w:ascii="Tahoma" w:hAnsi="Tahoma" w:cs="Tahoma"/>
                <w:sz w:val="24"/>
                <w:szCs w:val="24"/>
              </w:rPr>
            </w:pPr>
            <w:r w:rsidRPr="007B59FC">
              <w:rPr>
                <w:rFonts w:ascii="Tahoma" w:hAnsi="Tahoma" w:cs="Tahoma"/>
                <w:sz w:val="24"/>
                <w:szCs w:val="24"/>
              </w:rPr>
              <w:t xml:space="preserve">Misfeasance/Malicious Prosecution/False Imprisonment – </w:t>
            </w:r>
          </w:p>
          <w:p w:rsidR="000307D1" w:rsidRPr="007B59FC" w:rsidRDefault="000307D1" w:rsidP="002A11DB">
            <w:pPr>
              <w:ind w:left="1440" w:hanging="1440"/>
              <w:rPr>
                <w:rFonts w:ascii="Tahoma" w:hAnsi="Tahoma" w:cs="Tahoma"/>
                <w:sz w:val="24"/>
                <w:szCs w:val="24"/>
              </w:rPr>
            </w:pPr>
            <w:r w:rsidRPr="007B59FC">
              <w:rPr>
                <w:rFonts w:ascii="Tahoma" w:hAnsi="Tahoma" w:cs="Tahoma"/>
                <w:sz w:val="24"/>
                <w:szCs w:val="24"/>
              </w:rPr>
              <w:t xml:space="preserve">see exception report at </w:t>
            </w:r>
            <w:r>
              <w:rPr>
                <w:rFonts w:ascii="Tahoma" w:hAnsi="Tahoma" w:cs="Tahoma"/>
                <w:sz w:val="24"/>
                <w:szCs w:val="24"/>
              </w:rPr>
              <w:t>7</w:t>
            </w:r>
            <w:r w:rsidRPr="007B59FC">
              <w:rPr>
                <w:rFonts w:ascii="Tahoma" w:hAnsi="Tahoma" w:cs="Tahoma"/>
                <w:sz w:val="24"/>
                <w:szCs w:val="24"/>
              </w:rPr>
              <w:t xml:space="preserve">.3 below </w:t>
            </w:r>
          </w:p>
          <w:p w:rsidR="000307D1" w:rsidRPr="007B59FC" w:rsidRDefault="000307D1" w:rsidP="002A11DB">
            <w:pPr>
              <w:ind w:left="1440" w:hanging="1440"/>
              <w:rPr>
                <w:rFonts w:ascii="Tahoma" w:hAnsi="Tahoma" w:cs="Tahoma"/>
                <w:sz w:val="24"/>
                <w:szCs w:val="24"/>
              </w:rPr>
            </w:pPr>
          </w:p>
        </w:tc>
        <w:tc>
          <w:tcPr>
            <w:tcW w:w="1326" w:type="dxa"/>
            <w:tcBorders>
              <w:top w:val="single" w:sz="4" w:space="0" w:color="auto"/>
              <w:left w:val="single" w:sz="4" w:space="0" w:color="auto"/>
              <w:bottom w:val="single" w:sz="4" w:space="0" w:color="auto"/>
              <w:right w:val="single" w:sz="4" w:space="0" w:color="auto"/>
            </w:tcBorders>
          </w:tcPr>
          <w:p w:rsidR="000307D1" w:rsidRDefault="000307D1" w:rsidP="002A11DB">
            <w:pPr>
              <w:jc w:val="center"/>
              <w:rPr>
                <w:rFonts w:ascii="Tahoma" w:hAnsi="Tahoma" w:cs="Tahoma"/>
                <w:sz w:val="24"/>
                <w:szCs w:val="24"/>
              </w:rPr>
            </w:pPr>
            <w:r>
              <w:rPr>
                <w:rFonts w:ascii="Tahoma" w:hAnsi="Tahoma" w:cs="Tahoma"/>
                <w:sz w:val="24"/>
                <w:szCs w:val="24"/>
              </w:rPr>
              <w:t>6</w:t>
            </w:r>
          </w:p>
        </w:tc>
      </w:tr>
    </w:tbl>
    <w:p w:rsidR="002F59D6" w:rsidRDefault="002F59D6" w:rsidP="002F59D6">
      <w:pPr>
        <w:ind w:left="720" w:hanging="720"/>
        <w:jc w:val="both"/>
        <w:rPr>
          <w:rFonts w:ascii="Tahoma" w:hAnsi="Tahoma" w:cs="Tahoma"/>
          <w:sz w:val="24"/>
          <w:szCs w:val="24"/>
        </w:rPr>
      </w:pPr>
    </w:p>
    <w:p w:rsidR="004201C7" w:rsidRDefault="004201C7" w:rsidP="002F59D6">
      <w:pPr>
        <w:ind w:left="720" w:hanging="720"/>
        <w:jc w:val="both"/>
        <w:rPr>
          <w:rFonts w:ascii="Tahoma" w:hAnsi="Tahoma" w:cs="Tahoma"/>
          <w:sz w:val="24"/>
          <w:szCs w:val="24"/>
        </w:rPr>
      </w:pPr>
    </w:p>
    <w:p w:rsidR="004201C7" w:rsidRDefault="004201C7" w:rsidP="002F59D6">
      <w:pPr>
        <w:ind w:left="720" w:hanging="720"/>
        <w:jc w:val="both"/>
        <w:rPr>
          <w:rFonts w:ascii="Tahoma" w:hAnsi="Tahoma" w:cs="Tahoma"/>
          <w:sz w:val="24"/>
          <w:szCs w:val="24"/>
        </w:rPr>
      </w:pPr>
    </w:p>
    <w:p w:rsidR="004201C7" w:rsidRDefault="004201C7" w:rsidP="002F59D6">
      <w:pPr>
        <w:ind w:left="720" w:hanging="720"/>
        <w:jc w:val="both"/>
        <w:rPr>
          <w:rFonts w:ascii="Tahoma" w:hAnsi="Tahoma" w:cs="Tahoma"/>
          <w:sz w:val="24"/>
          <w:szCs w:val="24"/>
        </w:rPr>
      </w:pPr>
    </w:p>
    <w:p w:rsidR="002F59D6" w:rsidRDefault="002F59D6" w:rsidP="002F59D6">
      <w:pPr>
        <w:ind w:left="720" w:hanging="720"/>
        <w:jc w:val="both"/>
        <w:rPr>
          <w:rFonts w:ascii="Tahoma" w:hAnsi="Tahoma" w:cs="Tahoma"/>
          <w:sz w:val="24"/>
          <w:szCs w:val="24"/>
        </w:rPr>
      </w:pPr>
      <w:r>
        <w:rPr>
          <w:rFonts w:ascii="Tahoma" w:hAnsi="Tahoma" w:cs="Tahoma"/>
          <w:sz w:val="24"/>
          <w:szCs w:val="24"/>
        </w:rPr>
        <w:t>4.3</w:t>
      </w:r>
      <w:r>
        <w:rPr>
          <w:rFonts w:ascii="Tahoma" w:hAnsi="Tahoma" w:cs="Tahoma"/>
          <w:sz w:val="24"/>
          <w:szCs w:val="24"/>
        </w:rPr>
        <w:tab/>
        <w:t>Feedback is provided on a case by case basis to ensure assistance is given in managing risks. At the strategic level the Force takes its ‘risk’ around civil litigation very seriously and works tirelessly to ensure that ‘liability’ is reduced wherever possible and that the ‘les</w:t>
      </w:r>
      <w:r w:rsidR="000A1318">
        <w:rPr>
          <w:rFonts w:ascii="Tahoma" w:hAnsi="Tahoma" w:cs="Tahoma"/>
          <w:sz w:val="24"/>
          <w:szCs w:val="24"/>
        </w:rPr>
        <w:t>sons learnt’ from finalised claim</w:t>
      </w:r>
      <w:r>
        <w:rPr>
          <w:rFonts w:ascii="Tahoma" w:hAnsi="Tahoma" w:cs="Tahoma"/>
          <w:sz w:val="24"/>
          <w:szCs w:val="24"/>
        </w:rPr>
        <w:t xml:space="preserve">s are integrated into operational and organisational planning and delivery. </w:t>
      </w:r>
    </w:p>
    <w:p w:rsidR="00D51604" w:rsidRDefault="00D51604"/>
    <w:p w:rsidR="004201C7" w:rsidRDefault="004201C7"/>
    <w:p w:rsidR="004201C7" w:rsidRDefault="004201C7"/>
    <w:p w:rsidR="004201C7" w:rsidRDefault="004201C7"/>
    <w:p w:rsidR="004201C7" w:rsidRDefault="004201C7"/>
    <w:p w:rsidR="004201C7" w:rsidRDefault="004201C7"/>
    <w:p w:rsidR="004201C7" w:rsidRDefault="004201C7"/>
    <w:p w:rsidR="004201C7" w:rsidRDefault="004201C7"/>
    <w:p w:rsidR="004201C7" w:rsidRDefault="004201C7"/>
    <w:p w:rsidR="004201C7" w:rsidRDefault="004201C7"/>
    <w:p w:rsidR="004201C7" w:rsidRDefault="004201C7">
      <w:pPr>
        <w:rPr>
          <w:rFonts w:ascii="Tahoma" w:hAnsi="Tahoma" w:cs="Tahoma"/>
          <w:b/>
          <w:sz w:val="24"/>
          <w:szCs w:val="24"/>
        </w:rPr>
      </w:pPr>
    </w:p>
    <w:p w:rsidR="000307D1" w:rsidRDefault="000307D1">
      <w:pPr>
        <w:rPr>
          <w:rFonts w:ascii="Tahoma" w:hAnsi="Tahoma" w:cs="Tahoma"/>
          <w:b/>
          <w:sz w:val="24"/>
          <w:szCs w:val="24"/>
        </w:rPr>
      </w:pPr>
      <w:r>
        <w:rPr>
          <w:rFonts w:ascii="Tahoma" w:hAnsi="Tahoma" w:cs="Tahoma"/>
          <w:b/>
          <w:sz w:val="24"/>
          <w:szCs w:val="24"/>
        </w:rPr>
        <w:t>5.</w:t>
      </w:r>
      <w:r>
        <w:rPr>
          <w:rFonts w:ascii="Tahoma" w:hAnsi="Tahoma" w:cs="Tahoma"/>
          <w:b/>
          <w:sz w:val="24"/>
          <w:szCs w:val="24"/>
        </w:rPr>
        <w:tab/>
        <w:t xml:space="preserve">Sums Paid Out on </w:t>
      </w:r>
      <w:r w:rsidR="000A1318">
        <w:rPr>
          <w:rFonts w:ascii="Tahoma" w:hAnsi="Tahoma" w:cs="Tahoma"/>
          <w:b/>
          <w:sz w:val="24"/>
          <w:szCs w:val="24"/>
        </w:rPr>
        <w:t xml:space="preserve">Claims </w:t>
      </w:r>
      <w:r>
        <w:rPr>
          <w:rFonts w:ascii="Tahoma" w:hAnsi="Tahoma" w:cs="Tahoma"/>
          <w:b/>
          <w:sz w:val="24"/>
          <w:szCs w:val="24"/>
        </w:rPr>
        <w:t xml:space="preserve">Finalised </w:t>
      </w:r>
    </w:p>
    <w:p w:rsidR="000307D1" w:rsidRDefault="000307D1">
      <w:pPr>
        <w:rPr>
          <w:rFonts w:ascii="Tahoma" w:hAnsi="Tahoma" w:cs="Tahoma"/>
          <w:b/>
          <w:sz w:val="24"/>
          <w:szCs w:val="24"/>
        </w:rPr>
      </w:pPr>
    </w:p>
    <w:p w:rsidR="000307D1" w:rsidRDefault="000307D1" w:rsidP="000307D1">
      <w:pPr>
        <w:ind w:left="720" w:hanging="720"/>
        <w:jc w:val="both"/>
        <w:rPr>
          <w:rFonts w:ascii="Tahoma" w:hAnsi="Tahoma" w:cs="Tahoma"/>
          <w:sz w:val="24"/>
          <w:szCs w:val="24"/>
        </w:rPr>
      </w:pPr>
      <w:r>
        <w:rPr>
          <w:rFonts w:ascii="Tahoma" w:hAnsi="Tahoma" w:cs="Tahoma"/>
          <w:sz w:val="24"/>
          <w:szCs w:val="24"/>
        </w:rPr>
        <w:t>5.1</w:t>
      </w:r>
      <w:r>
        <w:rPr>
          <w:rFonts w:ascii="Tahoma" w:hAnsi="Tahoma" w:cs="Tahoma"/>
          <w:sz w:val="24"/>
          <w:szCs w:val="24"/>
        </w:rPr>
        <w:tab/>
        <w:t>The chart below summarises the payments made on claims finalised during the period.</w:t>
      </w:r>
    </w:p>
    <w:p w:rsidR="000307D1" w:rsidRDefault="000307D1" w:rsidP="000307D1">
      <w:pPr>
        <w:ind w:left="720" w:hanging="720"/>
        <w:jc w:val="both"/>
        <w:rPr>
          <w:rFonts w:ascii="Tahoma" w:hAnsi="Tahoma" w:cs="Tahoma"/>
          <w:sz w:val="24"/>
          <w:szCs w:val="24"/>
        </w:rPr>
      </w:pPr>
    </w:p>
    <w:p w:rsidR="000307D1" w:rsidRDefault="000307D1" w:rsidP="000307D1">
      <w:pPr>
        <w:ind w:left="720" w:hanging="720"/>
        <w:jc w:val="both"/>
        <w:rPr>
          <w:rFonts w:ascii="Tahoma" w:hAnsi="Tahoma" w:cs="Tahoma"/>
          <w:sz w:val="24"/>
          <w:szCs w:val="24"/>
        </w:rPr>
      </w:pPr>
      <w:r>
        <w:rPr>
          <w:noProof/>
          <w:lang w:eastAsia="en-GB"/>
        </w:rPr>
        <w:drawing>
          <wp:inline distT="0" distB="0" distL="0" distR="0" wp14:anchorId="7DAF45C1" wp14:editId="43768C53">
            <wp:extent cx="5533901" cy="2660073"/>
            <wp:effectExtent l="0" t="0" r="10160" b="2603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307D1" w:rsidRDefault="000307D1"/>
    <w:p w:rsidR="004201C7" w:rsidRDefault="004201C7"/>
    <w:p w:rsidR="004201C7" w:rsidRDefault="004201C7"/>
    <w:p w:rsidR="004201C7" w:rsidRDefault="004201C7"/>
    <w:p w:rsidR="004201C7" w:rsidRDefault="004201C7"/>
    <w:p w:rsidR="004201C7" w:rsidRDefault="004201C7" w:rsidP="004201C7">
      <w:pPr>
        <w:jc w:val="both"/>
        <w:rPr>
          <w:rFonts w:ascii="Tahoma" w:hAnsi="Tahoma" w:cs="Tahoma"/>
          <w:b/>
          <w:sz w:val="24"/>
          <w:szCs w:val="24"/>
        </w:rPr>
      </w:pPr>
      <w:r>
        <w:rPr>
          <w:rFonts w:ascii="Tahoma" w:hAnsi="Tahoma" w:cs="Tahoma"/>
          <w:b/>
          <w:sz w:val="24"/>
          <w:szCs w:val="24"/>
        </w:rPr>
        <w:t>6.</w:t>
      </w:r>
      <w:r>
        <w:rPr>
          <w:rFonts w:ascii="Tahoma" w:hAnsi="Tahoma" w:cs="Tahoma"/>
          <w:b/>
          <w:sz w:val="24"/>
          <w:szCs w:val="24"/>
        </w:rPr>
        <w:tab/>
        <w:t xml:space="preserve">Trends by Financial Years  </w:t>
      </w:r>
    </w:p>
    <w:p w:rsidR="004201C7" w:rsidRDefault="004201C7" w:rsidP="004201C7">
      <w:pPr>
        <w:jc w:val="both"/>
        <w:rPr>
          <w:rFonts w:ascii="Tahoma" w:hAnsi="Tahoma" w:cs="Tahoma"/>
          <w:sz w:val="24"/>
          <w:szCs w:val="24"/>
        </w:rPr>
      </w:pPr>
    </w:p>
    <w:p w:rsidR="004201C7" w:rsidRDefault="004201C7" w:rsidP="004201C7">
      <w:pPr>
        <w:jc w:val="both"/>
        <w:rPr>
          <w:rFonts w:ascii="Tahoma" w:hAnsi="Tahoma" w:cs="Tahoma"/>
          <w:sz w:val="24"/>
          <w:szCs w:val="24"/>
        </w:rPr>
      </w:pPr>
      <w:r>
        <w:rPr>
          <w:rFonts w:ascii="Tahoma" w:hAnsi="Tahoma" w:cs="Tahoma"/>
          <w:sz w:val="24"/>
          <w:szCs w:val="24"/>
        </w:rPr>
        <w:t>6.1</w:t>
      </w:r>
      <w:r>
        <w:rPr>
          <w:rFonts w:ascii="Tahoma" w:hAnsi="Tahoma" w:cs="Tahoma"/>
          <w:sz w:val="24"/>
          <w:szCs w:val="24"/>
        </w:rPr>
        <w:tab/>
        <w:t>The table below summarises the fluctuations over recent years.</w:t>
      </w:r>
    </w:p>
    <w:p w:rsidR="004201C7" w:rsidRDefault="004201C7" w:rsidP="004201C7">
      <w:pPr>
        <w:jc w:val="both"/>
        <w:rPr>
          <w:rFonts w:ascii="Tahoma" w:hAnsi="Tahoma" w:cs="Tahoma"/>
          <w:sz w:val="24"/>
          <w:szCs w:val="24"/>
        </w:rPr>
      </w:pPr>
    </w:p>
    <w:p w:rsidR="004201C7" w:rsidRDefault="004201C7" w:rsidP="004201C7">
      <w:pPr>
        <w:jc w:val="both"/>
        <w:rPr>
          <w:rFonts w:ascii="Tahoma" w:hAnsi="Tahoma" w:cs="Tahoma"/>
          <w:sz w:val="24"/>
          <w:szCs w:val="24"/>
        </w:rPr>
      </w:pPr>
    </w:p>
    <w:p w:rsidR="004201C7" w:rsidRDefault="004201C7" w:rsidP="004201C7">
      <w:pPr>
        <w:jc w:val="both"/>
        <w:rPr>
          <w:rFonts w:ascii="Tahoma" w:hAnsi="Tahoma" w:cs="Tahoma"/>
          <w:sz w:val="24"/>
          <w:szCs w:val="24"/>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1260"/>
        <w:gridCol w:w="2554"/>
        <w:gridCol w:w="2666"/>
      </w:tblGrid>
      <w:tr w:rsidR="004201C7" w:rsidTr="004201C7">
        <w:tc>
          <w:tcPr>
            <w:tcW w:w="2520" w:type="dxa"/>
            <w:tcBorders>
              <w:top w:val="single" w:sz="4" w:space="0" w:color="auto"/>
              <w:left w:val="single" w:sz="4" w:space="0" w:color="auto"/>
              <w:bottom w:val="single" w:sz="4" w:space="0" w:color="auto"/>
              <w:right w:val="single" w:sz="4" w:space="0" w:color="auto"/>
            </w:tcBorders>
            <w:hideMark/>
          </w:tcPr>
          <w:p w:rsidR="004201C7" w:rsidRDefault="004201C7" w:rsidP="006F503C">
            <w:pPr>
              <w:jc w:val="both"/>
              <w:rPr>
                <w:rFonts w:ascii="Tahoma" w:hAnsi="Tahoma" w:cs="Tahoma"/>
                <w:b/>
                <w:sz w:val="24"/>
                <w:szCs w:val="24"/>
              </w:rPr>
            </w:pPr>
            <w:r>
              <w:rPr>
                <w:rFonts w:ascii="Tahoma" w:hAnsi="Tahoma" w:cs="Tahoma"/>
                <w:b/>
                <w:sz w:val="24"/>
                <w:szCs w:val="24"/>
              </w:rPr>
              <w:t>Financial Year</w:t>
            </w:r>
          </w:p>
        </w:tc>
        <w:tc>
          <w:tcPr>
            <w:tcW w:w="1260" w:type="dxa"/>
            <w:tcBorders>
              <w:top w:val="single" w:sz="4" w:space="0" w:color="auto"/>
              <w:left w:val="single" w:sz="4" w:space="0" w:color="auto"/>
              <w:bottom w:val="single" w:sz="4" w:space="0" w:color="auto"/>
              <w:right w:val="single" w:sz="4" w:space="0" w:color="auto"/>
            </w:tcBorders>
            <w:hideMark/>
          </w:tcPr>
          <w:p w:rsidR="004201C7" w:rsidRDefault="004201C7" w:rsidP="006F503C">
            <w:pPr>
              <w:jc w:val="both"/>
              <w:rPr>
                <w:rFonts w:ascii="Tahoma" w:hAnsi="Tahoma" w:cs="Tahoma"/>
                <w:b/>
                <w:sz w:val="24"/>
                <w:szCs w:val="24"/>
              </w:rPr>
            </w:pPr>
            <w:r>
              <w:rPr>
                <w:rFonts w:ascii="Tahoma" w:hAnsi="Tahoma" w:cs="Tahoma"/>
                <w:b/>
                <w:sz w:val="24"/>
                <w:szCs w:val="24"/>
              </w:rPr>
              <w:t xml:space="preserve">Claims received </w:t>
            </w:r>
          </w:p>
        </w:tc>
        <w:tc>
          <w:tcPr>
            <w:tcW w:w="2554" w:type="dxa"/>
            <w:tcBorders>
              <w:top w:val="single" w:sz="4" w:space="0" w:color="auto"/>
              <w:left w:val="single" w:sz="4" w:space="0" w:color="auto"/>
              <w:bottom w:val="single" w:sz="4" w:space="0" w:color="auto"/>
              <w:right w:val="single" w:sz="4" w:space="0" w:color="auto"/>
            </w:tcBorders>
            <w:hideMark/>
          </w:tcPr>
          <w:p w:rsidR="004201C7" w:rsidRDefault="004201C7" w:rsidP="006F503C">
            <w:pPr>
              <w:jc w:val="both"/>
              <w:rPr>
                <w:rFonts w:ascii="Tahoma" w:hAnsi="Tahoma" w:cs="Tahoma"/>
                <w:b/>
                <w:sz w:val="24"/>
                <w:szCs w:val="24"/>
              </w:rPr>
            </w:pPr>
            <w:r>
              <w:rPr>
                <w:rFonts w:ascii="Tahoma" w:hAnsi="Tahoma" w:cs="Tahoma"/>
                <w:b/>
                <w:sz w:val="24"/>
                <w:szCs w:val="24"/>
              </w:rPr>
              <w:t>T</w:t>
            </w:r>
            <w:r w:rsidR="000A1318">
              <w:rPr>
                <w:rFonts w:ascii="Tahoma" w:hAnsi="Tahoma" w:cs="Tahoma"/>
                <w:b/>
                <w:sz w:val="24"/>
                <w:szCs w:val="24"/>
              </w:rPr>
              <w:t>otal sum paid on finalised claims</w:t>
            </w:r>
            <w:r>
              <w:rPr>
                <w:rStyle w:val="FootnoteReference"/>
                <w:rFonts w:ascii="Tahoma" w:hAnsi="Tahoma" w:cs="Tahoma"/>
                <w:b/>
                <w:sz w:val="24"/>
                <w:szCs w:val="24"/>
              </w:rPr>
              <w:footnoteReference w:id="2"/>
            </w:r>
            <w:r>
              <w:rPr>
                <w:rFonts w:ascii="Tahoma" w:hAnsi="Tahoma" w:cs="Tahoma"/>
                <w:b/>
                <w:sz w:val="24"/>
                <w:szCs w:val="24"/>
              </w:rPr>
              <w:t xml:space="preserve"> </w:t>
            </w:r>
          </w:p>
        </w:tc>
        <w:tc>
          <w:tcPr>
            <w:tcW w:w="2666" w:type="dxa"/>
            <w:tcBorders>
              <w:top w:val="single" w:sz="4" w:space="0" w:color="auto"/>
              <w:left w:val="single" w:sz="4" w:space="0" w:color="auto"/>
              <w:bottom w:val="single" w:sz="4" w:space="0" w:color="auto"/>
              <w:right w:val="single" w:sz="4" w:space="0" w:color="auto"/>
            </w:tcBorders>
            <w:hideMark/>
          </w:tcPr>
          <w:p w:rsidR="004201C7" w:rsidRDefault="000A1318" w:rsidP="006F503C">
            <w:pPr>
              <w:jc w:val="both"/>
              <w:rPr>
                <w:rFonts w:ascii="Tahoma" w:hAnsi="Tahoma" w:cs="Tahoma"/>
                <w:b/>
                <w:sz w:val="24"/>
                <w:szCs w:val="24"/>
              </w:rPr>
            </w:pPr>
            <w:r>
              <w:rPr>
                <w:rFonts w:ascii="Tahoma" w:hAnsi="Tahoma" w:cs="Tahoma"/>
                <w:b/>
                <w:sz w:val="24"/>
                <w:szCs w:val="24"/>
              </w:rPr>
              <w:t>Percentage of claims</w:t>
            </w:r>
            <w:r w:rsidR="004201C7">
              <w:rPr>
                <w:rFonts w:ascii="Tahoma" w:hAnsi="Tahoma" w:cs="Tahoma"/>
                <w:b/>
                <w:sz w:val="24"/>
                <w:szCs w:val="24"/>
              </w:rPr>
              <w:t xml:space="preserve"> successfully defended </w:t>
            </w:r>
          </w:p>
        </w:tc>
      </w:tr>
      <w:tr w:rsidR="004201C7" w:rsidTr="004201C7">
        <w:tc>
          <w:tcPr>
            <w:tcW w:w="252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both"/>
              <w:rPr>
                <w:rFonts w:ascii="Tahoma" w:hAnsi="Tahoma" w:cs="Tahoma"/>
                <w:sz w:val="24"/>
                <w:szCs w:val="24"/>
              </w:rPr>
            </w:pPr>
            <w:r w:rsidRPr="001631DA">
              <w:rPr>
                <w:rFonts w:ascii="Tahoma" w:hAnsi="Tahoma" w:cs="Tahoma"/>
                <w:sz w:val="24"/>
                <w:szCs w:val="24"/>
              </w:rPr>
              <w:t>01/04/09 - 31/03/10</w:t>
            </w:r>
          </w:p>
        </w:tc>
        <w:tc>
          <w:tcPr>
            <w:tcW w:w="126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136</w:t>
            </w:r>
          </w:p>
        </w:tc>
        <w:tc>
          <w:tcPr>
            <w:tcW w:w="2554"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£386,797</w:t>
            </w:r>
          </w:p>
        </w:tc>
        <w:tc>
          <w:tcPr>
            <w:tcW w:w="2666"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38%</w:t>
            </w:r>
          </w:p>
        </w:tc>
      </w:tr>
      <w:tr w:rsidR="004201C7" w:rsidTr="004201C7">
        <w:tc>
          <w:tcPr>
            <w:tcW w:w="252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both"/>
              <w:rPr>
                <w:rFonts w:ascii="Tahoma" w:hAnsi="Tahoma" w:cs="Tahoma"/>
                <w:sz w:val="24"/>
                <w:szCs w:val="24"/>
              </w:rPr>
            </w:pPr>
            <w:r w:rsidRPr="001631DA">
              <w:rPr>
                <w:rFonts w:ascii="Tahoma" w:hAnsi="Tahoma" w:cs="Tahoma"/>
                <w:sz w:val="24"/>
                <w:szCs w:val="24"/>
              </w:rPr>
              <w:t>01/04/10 - 31/03/11</w:t>
            </w:r>
          </w:p>
        </w:tc>
        <w:tc>
          <w:tcPr>
            <w:tcW w:w="126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129</w:t>
            </w:r>
          </w:p>
        </w:tc>
        <w:tc>
          <w:tcPr>
            <w:tcW w:w="2554"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£635,125</w:t>
            </w:r>
          </w:p>
        </w:tc>
        <w:tc>
          <w:tcPr>
            <w:tcW w:w="2666"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47%</w:t>
            </w:r>
          </w:p>
        </w:tc>
      </w:tr>
      <w:tr w:rsidR="004201C7" w:rsidTr="004201C7">
        <w:tc>
          <w:tcPr>
            <w:tcW w:w="252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both"/>
              <w:rPr>
                <w:rFonts w:ascii="Tahoma" w:hAnsi="Tahoma" w:cs="Tahoma"/>
                <w:sz w:val="24"/>
                <w:szCs w:val="24"/>
              </w:rPr>
            </w:pPr>
            <w:r w:rsidRPr="001631DA">
              <w:rPr>
                <w:rFonts w:ascii="Tahoma" w:hAnsi="Tahoma" w:cs="Tahoma"/>
                <w:sz w:val="24"/>
                <w:szCs w:val="24"/>
              </w:rPr>
              <w:t>01/04/11 - 31/03/12</w:t>
            </w:r>
          </w:p>
        </w:tc>
        <w:tc>
          <w:tcPr>
            <w:tcW w:w="126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134</w:t>
            </w:r>
          </w:p>
        </w:tc>
        <w:tc>
          <w:tcPr>
            <w:tcW w:w="2554"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£471,901</w:t>
            </w:r>
          </w:p>
        </w:tc>
        <w:tc>
          <w:tcPr>
            <w:tcW w:w="2666"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51%</w:t>
            </w:r>
          </w:p>
        </w:tc>
      </w:tr>
      <w:tr w:rsidR="004201C7" w:rsidTr="004201C7">
        <w:tc>
          <w:tcPr>
            <w:tcW w:w="252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both"/>
              <w:rPr>
                <w:rFonts w:ascii="Tahoma" w:hAnsi="Tahoma" w:cs="Tahoma"/>
                <w:sz w:val="24"/>
                <w:szCs w:val="24"/>
              </w:rPr>
            </w:pPr>
            <w:r w:rsidRPr="001631DA">
              <w:rPr>
                <w:rFonts w:ascii="Tahoma" w:hAnsi="Tahoma" w:cs="Tahoma"/>
                <w:sz w:val="24"/>
                <w:szCs w:val="24"/>
              </w:rPr>
              <w:t>01/04/12 - 31/03/13</w:t>
            </w:r>
          </w:p>
        </w:tc>
        <w:tc>
          <w:tcPr>
            <w:tcW w:w="126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99</w:t>
            </w:r>
          </w:p>
        </w:tc>
        <w:tc>
          <w:tcPr>
            <w:tcW w:w="2554"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£558,123</w:t>
            </w:r>
          </w:p>
        </w:tc>
        <w:tc>
          <w:tcPr>
            <w:tcW w:w="2666"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65%</w:t>
            </w:r>
          </w:p>
        </w:tc>
      </w:tr>
      <w:tr w:rsidR="004201C7" w:rsidTr="004201C7">
        <w:tc>
          <w:tcPr>
            <w:tcW w:w="252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both"/>
              <w:rPr>
                <w:rFonts w:ascii="Tahoma" w:hAnsi="Tahoma" w:cs="Tahoma"/>
                <w:sz w:val="24"/>
                <w:szCs w:val="24"/>
              </w:rPr>
            </w:pPr>
            <w:r w:rsidRPr="001631DA">
              <w:rPr>
                <w:rFonts w:ascii="Tahoma" w:hAnsi="Tahoma" w:cs="Tahoma"/>
                <w:sz w:val="24"/>
                <w:szCs w:val="24"/>
              </w:rPr>
              <w:t>01/04/13 - 31/03/14</w:t>
            </w:r>
          </w:p>
        </w:tc>
        <w:tc>
          <w:tcPr>
            <w:tcW w:w="126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122</w:t>
            </w:r>
          </w:p>
        </w:tc>
        <w:tc>
          <w:tcPr>
            <w:tcW w:w="2554"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£567,983</w:t>
            </w:r>
          </w:p>
        </w:tc>
        <w:tc>
          <w:tcPr>
            <w:tcW w:w="2666"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58%</w:t>
            </w:r>
          </w:p>
        </w:tc>
      </w:tr>
      <w:tr w:rsidR="004201C7" w:rsidTr="004201C7">
        <w:tc>
          <w:tcPr>
            <w:tcW w:w="252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both"/>
              <w:rPr>
                <w:rFonts w:ascii="Tahoma" w:hAnsi="Tahoma" w:cs="Tahoma"/>
                <w:sz w:val="24"/>
                <w:szCs w:val="24"/>
              </w:rPr>
            </w:pPr>
            <w:r w:rsidRPr="001631DA">
              <w:rPr>
                <w:rFonts w:ascii="Tahoma" w:hAnsi="Tahoma" w:cs="Tahoma"/>
                <w:sz w:val="24"/>
                <w:szCs w:val="24"/>
              </w:rPr>
              <w:t>01/04/14 – 31/03/15</w:t>
            </w:r>
          </w:p>
        </w:tc>
        <w:tc>
          <w:tcPr>
            <w:tcW w:w="1260"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105</w:t>
            </w:r>
          </w:p>
        </w:tc>
        <w:tc>
          <w:tcPr>
            <w:tcW w:w="2554"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£562,551</w:t>
            </w:r>
          </w:p>
        </w:tc>
        <w:tc>
          <w:tcPr>
            <w:tcW w:w="2666" w:type="dxa"/>
            <w:tcBorders>
              <w:top w:val="single" w:sz="4" w:space="0" w:color="auto"/>
              <w:left w:val="single" w:sz="4" w:space="0" w:color="auto"/>
              <w:bottom w:val="single" w:sz="4" w:space="0" w:color="auto"/>
              <w:right w:val="single" w:sz="4" w:space="0" w:color="auto"/>
            </w:tcBorders>
            <w:hideMark/>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61%</w:t>
            </w:r>
          </w:p>
        </w:tc>
      </w:tr>
      <w:tr w:rsidR="004201C7" w:rsidTr="004201C7">
        <w:tc>
          <w:tcPr>
            <w:tcW w:w="2520" w:type="dxa"/>
            <w:tcBorders>
              <w:top w:val="single" w:sz="4" w:space="0" w:color="auto"/>
              <w:left w:val="single" w:sz="4" w:space="0" w:color="auto"/>
              <w:bottom w:val="single" w:sz="4" w:space="0" w:color="auto"/>
              <w:right w:val="single" w:sz="4" w:space="0" w:color="auto"/>
            </w:tcBorders>
          </w:tcPr>
          <w:p w:rsidR="004201C7" w:rsidRPr="001631DA" w:rsidRDefault="004201C7" w:rsidP="006F503C">
            <w:pPr>
              <w:jc w:val="both"/>
              <w:rPr>
                <w:rFonts w:ascii="Tahoma" w:hAnsi="Tahoma" w:cs="Tahoma"/>
                <w:sz w:val="24"/>
                <w:szCs w:val="24"/>
              </w:rPr>
            </w:pPr>
            <w:r w:rsidRPr="001631DA">
              <w:rPr>
                <w:rFonts w:ascii="Tahoma" w:hAnsi="Tahoma" w:cs="Tahoma"/>
                <w:sz w:val="24"/>
                <w:szCs w:val="24"/>
              </w:rPr>
              <w:t>01/04/15 – 31/03/16</w:t>
            </w:r>
          </w:p>
        </w:tc>
        <w:tc>
          <w:tcPr>
            <w:tcW w:w="1260" w:type="dxa"/>
            <w:tcBorders>
              <w:top w:val="single" w:sz="4" w:space="0" w:color="auto"/>
              <w:left w:val="single" w:sz="4" w:space="0" w:color="auto"/>
              <w:bottom w:val="single" w:sz="4" w:space="0" w:color="auto"/>
              <w:right w:val="single" w:sz="4" w:space="0" w:color="auto"/>
            </w:tcBorders>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115</w:t>
            </w:r>
          </w:p>
        </w:tc>
        <w:tc>
          <w:tcPr>
            <w:tcW w:w="2554" w:type="dxa"/>
            <w:tcBorders>
              <w:top w:val="single" w:sz="4" w:space="0" w:color="auto"/>
              <w:left w:val="single" w:sz="4" w:space="0" w:color="auto"/>
              <w:bottom w:val="single" w:sz="4" w:space="0" w:color="auto"/>
              <w:right w:val="single" w:sz="4" w:space="0" w:color="auto"/>
            </w:tcBorders>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£473,966</w:t>
            </w:r>
          </w:p>
        </w:tc>
        <w:tc>
          <w:tcPr>
            <w:tcW w:w="2666" w:type="dxa"/>
            <w:tcBorders>
              <w:top w:val="single" w:sz="4" w:space="0" w:color="auto"/>
              <w:left w:val="single" w:sz="4" w:space="0" w:color="auto"/>
              <w:bottom w:val="single" w:sz="4" w:space="0" w:color="auto"/>
              <w:right w:val="single" w:sz="4" w:space="0" w:color="auto"/>
            </w:tcBorders>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58%</w:t>
            </w:r>
          </w:p>
        </w:tc>
      </w:tr>
      <w:tr w:rsidR="004201C7" w:rsidTr="004201C7">
        <w:tc>
          <w:tcPr>
            <w:tcW w:w="2520" w:type="dxa"/>
            <w:tcBorders>
              <w:top w:val="single" w:sz="4" w:space="0" w:color="auto"/>
              <w:left w:val="single" w:sz="4" w:space="0" w:color="auto"/>
              <w:bottom w:val="single" w:sz="4" w:space="0" w:color="auto"/>
              <w:right w:val="single" w:sz="4" w:space="0" w:color="auto"/>
            </w:tcBorders>
          </w:tcPr>
          <w:p w:rsidR="004201C7" w:rsidRPr="001631DA" w:rsidRDefault="004201C7" w:rsidP="006F503C">
            <w:pPr>
              <w:jc w:val="both"/>
              <w:rPr>
                <w:rFonts w:ascii="Tahoma" w:hAnsi="Tahoma" w:cs="Tahoma"/>
                <w:sz w:val="24"/>
                <w:szCs w:val="24"/>
              </w:rPr>
            </w:pPr>
            <w:r w:rsidRPr="001631DA">
              <w:rPr>
                <w:rFonts w:ascii="Tahoma" w:hAnsi="Tahoma" w:cs="Tahoma"/>
                <w:sz w:val="24"/>
                <w:szCs w:val="24"/>
              </w:rPr>
              <w:t>01/04/16 – 31/03/17</w:t>
            </w:r>
          </w:p>
        </w:tc>
        <w:tc>
          <w:tcPr>
            <w:tcW w:w="1260" w:type="dxa"/>
            <w:tcBorders>
              <w:top w:val="single" w:sz="4" w:space="0" w:color="auto"/>
              <w:left w:val="single" w:sz="4" w:space="0" w:color="auto"/>
              <w:bottom w:val="single" w:sz="4" w:space="0" w:color="auto"/>
              <w:right w:val="single" w:sz="4" w:space="0" w:color="auto"/>
            </w:tcBorders>
          </w:tcPr>
          <w:p w:rsidR="004201C7" w:rsidRPr="001631DA" w:rsidRDefault="004201C7" w:rsidP="006F503C">
            <w:pPr>
              <w:jc w:val="center"/>
              <w:rPr>
                <w:rFonts w:ascii="Tahoma" w:hAnsi="Tahoma" w:cs="Tahoma"/>
                <w:sz w:val="24"/>
                <w:szCs w:val="24"/>
              </w:rPr>
            </w:pPr>
            <w:r w:rsidRPr="001631DA">
              <w:rPr>
                <w:rFonts w:ascii="Tahoma" w:hAnsi="Tahoma" w:cs="Tahoma"/>
                <w:sz w:val="24"/>
                <w:szCs w:val="24"/>
              </w:rPr>
              <w:t>90</w:t>
            </w:r>
          </w:p>
        </w:tc>
        <w:tc>
          <w:tcPr>
            <w:tcW w:w="2554" w:type="dxa"/>
            <w:tcBorders>
              <w:top w:val="single" w:sz="4" w:space="0" w:color="auto"/>
              <w:left w:val="single" w:sz="4" w:space="0" w:color="auto"/>
              <w:bottom w:val="single" w:sz="4" w:space="0" w:color="auto"/>
              <w:right w:val="single" w:sz="4" w:space="0" w:color="auto"/>
            </w:tcBorders>
          </w:tcPr>
          <w:p w:rsidR="004201C7" w:rsidRPr="001631DA" w:rsidRDefault="004201C7" w:rsidP="006F503C">
            <w:pPr>
              <w:jc w:val="center"/>
              <w:rPr>
                <w:rFonts w:ascii="Tahoma" w:hAnsi="Tahoma" w:cs="Tahoma"/>
                <w:sz w:val="24"/>
                <w:szCs w:val="24"/>
              </w:rPr>
            </w:pPr>
            <w:r>
              <w:rPr>
                <w:rFonts w:ascii="Tahoma" w:hAnsi="Tahoma" w:cs="Tahoma"/>
                <w:sz w:val="24"/>
                <w:szCs w:val="24"/>
              </w:rPr>
              <w:t>£468,690</w:t>
            </w:r>
          </w:p>
        </w:tc>
        <w:tc>
          <w:tcPr>
            <w:tcW w:w="2666" w:type="dxa"/>
            <w:tcBorders>
              <w:top w:val="single" w:sz="4" w:space="0" w:color="auto"/>
              <w:left w:val="single" w:sz="4" w:space="0" w:color="auto"/>
              <w:bottom w:val="single" w:sz="4" w:space="0" w:color="auto"/>
              <w:right w:val="single" w:sz="4" w:space="0" w:color="auto"/>
            </w:tcBorders>
          </w:tcPr>
          <w:p w:rsidR="004201C7" w:rsidRPr="001631DA" w:rsidRDefault="004201C7" w:rsidP="006F503C">
            <w:pPr>
              <w:jc w:val="center"/>
              <w:rPr>
                <w:rFonts w:ascii="Tahoma" w:hAnsi="Tahoma" w:cs="Tahoma"/>
                <w:sz w:val="24"/>
                <w:szCs w:val="24"/>
              </w:rPr>
            </w:pPr>
            <w:r>
              <w:rPr>
                <w:rFonts w:ascii="Tahoma" w:hAnsi="Tahoma" w:cs="Tahoma"/>
                <w:sz w:val="24"/>
                <w:szCs w:val="24"/>
              </w:rPr>
              <w:t>61%</w:t>
            </w:r>
          </w:p>
        </w:tc>
      </w:tr>
    </w:tbl>
    <w:p w:rsidR="004201C7" w:rsidRDefault="004201C7" w:rsidP="004201C7">
      <w:pPr>
        <w:jc w:val="both"/>
        <w:rPr>
          <w:rFonts w:ascii="Arial" w:hAnsi="Arial"/>
          <w:b/>
          <w:bCs/>
          <w:color w:val="FFC000"/>
          <w:sz w:val="24"/>
        </w:rPr>
      </w:pPr>
    </w:p>
    <w:p w:rsidR="004201C7" w:rsidRDefault="004201C7" w:rsidP="004201C7">
      <w:pPr>
        <w:jc w:val="both"/>
        <w:rPr>
          <w:rFonts w:ascii="Tahoma" w:hAnsi="Tahoma" w:cs="Tahoma"/>
          <w:b/>
          <w:bCs/>
          <w:sz w:val="24"/>
        </w:rPr>
      </w:pPr>
    </w:p>
    <w:p w:rsidR="004201C7" w:rsidRDefault="004201C7" w:rsidP="004201C7">
      <w:pPr>
        <w:jc w:val="both"/>
        <w:rPr>
          <w:rFonts w:ascii="Tahoma" w:hAnsi="Tahoma" w:cs="Tahoma"/>
          <w:b/>
          <w:bCs/>
          <w:sz w:val="24"/>
        </w:rPr>
      </w:pPr>
    </w:p>
    <w:p w:rsidR="004201C7" w:rsidRDefault="004201C7" w:rsidP="004201C7">
      <w:pPr>
        <w:jc w:val="both"/>
        <w:rPr>
          <w:rFonts w:ascii="Tahoma" w:hAnsi="Tahoma" w:cs="Tahoma"/>
          <w:b/>
          <w:bCs/>
          <w:sz w:val="24"/>
        </w:rPr>
      </w:pPr>
      <w:r>
        <w:rPr>
          <w:rFonts w:ascii="Tahoma" w:hAnsi="Tahoma" w:cs="Tahoma"/>
          <w:b/>
          <w:bCs/>
          <w:sz w:val="24"/>
        </w:rPr>
        <w:t>7.</w:t>
      </w:r>
      <w:r>
        <w:rPr>
          <w:rFonts w:ascii="Tahoma" w:hAnsi="Tahoma" w:cs="Tahoma"/>
          <w:b/>
          <w:bCs/>
          <w:sz w:val="24"/>
        </w:rPr>
        <w:tab/>
        <w:t>Exception Reports</w:t>
      </w:r>
    </w:p>
    <w:p w:rsidR="004201C7" w:rsidRDefault="004201C7" w:rsidP="004201C7">
      <w:pPr>
        <w:jc w:val="both"/>
        <w:rPr>
          <w:rFonts w:ascii="Tahoma" w:hAnsi="Tahoma" w:cs="Tahoma"/>
          <w:b/>
          <w:bCs/>
          <w:sz w:val="24"/>
        </w:rPr>
      </w:pPr>
    </w:p>
    <w:p w:rsidR="004201C7" w:rsidRDefault="004201C7" w:rsidP="004201C7">
      <w:pPr>
        <w:ind w:left="720" w:hanging="720"/>
        <w:jc w:val="both"/>
        <w:rPr>
          <w:rFonts w:ascii="Tahoma" w:hAnsi="Tahoma" w:cs="Tahoma"/>
          <w:bCs/>
          <w:sz w:val="24"/>
        </w:rPr>
      </w:pPr>
      <w:r>
        <w:rPr>
          <w:rFonts w:ascii="Tahoma" w:hAnsi="Tahoma" w:cs="Tahoma"/>
          <w:bCs/>
          <w:sz w:val="24"/>
        </w:rPr>
        <w:t>7.1</w:t>
      </w:r>
      <w:r>
        <w:rPr>
          <w:rFonts w:ascii="Tahoma" w:hAnsi="Tahoma" w:cs="Tahoma"/>
          <w:bCs/>
          <w:sz w:val="24"/>
        </w:rPr>
        <w:tab/>
        <w:t>The Chief Constable has agreed to provide the Police and Crime Commissioner (PCC) with an exception report following the settlement of a civil claim case which meets either of the following criteria:</w:t>
      </w:r>
    </w:p>
    <w:p w:rsidR="004201C7" w:rsidRDefault="004201C7" w:rsidP="004201C7">
      <w:pPr>
        <w:numPr>
          <w:ilvl w:val="0"/>
          <w:numId w:val="2"/>
        </w:numPr>
        <w:jc w:val="both"/>
        <w:rPr>
          <w:rFonts w:ascii="Tahoma" w:hAnsi="Tahoma" w:cs="Tahoma"/>
          <w:bCs/>
          <w:sz w:val="24"/>
        </w:rPr>
      </w:pPr>
      <w:r>
        <w:rPr>
          <w:rFonts w:ascii="Tahoma" w:hAnsi="Tahoma" w:cs="Tahoma"/>
          <w:bCs/>
          <w:sz w:val="24"/>
        </w:rPr>
        <w:t>The case has been defended by the Force but has been lost at trial</w:t>
      </w:r>
    </w:p>
    <w:p w:rsidR="004201C7" w:rsidRDefault="004201C7" w:rsidP="004201C7">
      <w:pPr>
        <w:numPr>
          <w:ilvl w:val="0"/>
          <w:numId w:val="2"/>
        </w:numPr>
        <w:jc w:val="both"/>
        <w:rPr>
          <w:rFonts w:ascii="Tahoma" w:hAnsi="Tahoma" w:cs="Tahoma"/>
          <w:bCs/>
          <w:sz w:val="24"/>
        </w:rPr>
      </w:pPr>
      <w:r>
        <w:rPr>
          <w:rFonts w:ascii="Tahoma" w:hAnsi="Tahoma" w:cs="Tahoma"/>
          <w:bCs/>
          <w:sz w:val="24"/>
        </w:rPr>
        <w:t>The amount payable in finalising the case is above the insurance ‘excess’ for that claim.</w:t>
      </w:r>
    </w:p>
    <w:p w:rsidR="004201C7" w:rsidRDefault="004201C7" w:rsidP="004201C7">
      <w:pPr>
        <w:jc w:val="both"/>
        <w:rPr>
          <w:rFonts w:ascii="Tahoma" w:hAnsi="Tahoma" w:cs="Tahoma"/>
          <w:bCs/>
          <w:sz w:val="24"/>
        </w:rPr>
      </w:pPr>
    </w:p>
    <w:p w:rsidR="004201C7" w:rsidRDefault="004201C7" w:rsidP="004201C7">
      <w:pPr>
        <w:ind w:left="720" w:hanging="720"/>
        <w:jc w:val="both"/>
        <w:rPr>
          <w:rFonts w:ascii="Tahoma" w:hAnsi="Tahoma" w:cs="Tahoma"/>
          <w:bCs/>
          <w:sz w:val="24"/>
        </w:rPr>
      </w:pPr>
      <w:r>
        <w:rPr>
          <w:rFonts w:ascii="Tahoma" w:hAnsi="Tahoma" w:cs="Tahoma"/>
          <w:bCs/>
          <w:sz w:val="24"/>
        </w:rPr>
        <w:t>7.2</w:t>
      </w:r>
      <w:r>
        <w:rPr>
          <w:rFonts w:ascii="Tahoma" w:hAnsi="Tahoma" w:cs="Tahoma"/>
          <w:bCs/>
          <w:sz w:val="24"/>
        </w:rPr>
        <w:tab/>
        <w:t>In addition, it was agreed that the exception reports submitted to the PCC would be appended to the Civil Claims report presented to the Audit Committee for their information.</w:t>
      </w:r>
    </w:p>
    <w:p w:rsidR="004201C7" w:rsidRDefault="004201C7" w:rsidP="004201C7">
      <w:pPr>
        <w:jc w:val="both"/>
        <w:rPr>
          <w:rFonts w:ascii="Tahoma" w:hAnsi="Tahoma" w:cs="Tahoma"/>
          <w:bCs/>
          <w:sz w:val="24"/>
        </w:rPr>
      </w:pPr>
    </w:p>
    <w:p w:rsidR="004201C7" w:rsidRPr="001C264D" w:rsidRDefault="004201C7" w:rsidP="004201C7">
      <w:pPr>
        <w:ind w:left="720" w:hanging="720"/>
        <w:jc w:val="both"/>
        <w:rPr>
          <w:rFonts w:ascii="Tahoma" w:hAnsi="Tahoma" w:cs="Tahoma"/>
          <w:bCs/>
          <w:sz w:val="24"/>
        </w:rPr>
      </w:pPr>
      <w:r w:rsidRPr="001C264D">
        <w:rPr>
          <w:rFonts w:ascii="Tahoma" w:hAnsi="Tahoma" w:cs="Tahoma"/>
          <w:bCs/>
          <w:sz w:val="24"/>
        </w:rPr>
        <w:t>7.3</w:t>
      </w:r>
      <w:r w:rsidRPr="001C264D">
        <w:rPr>
          <w:rFonts w:ascii="Tahoma" w:hAnsi="Tahoma" w:cs="Tahoma"/>
          <w:bCs/>
          <w:sz w:val="24"/>
        </w:rPr>
        <w:tab/>
        <w:t>During the period 1</w:t>
      </w:r>
      <w:r w:rsidRPr="001C264D">
        <w:rPr>
          <w:rFonts w:ascii="Tahoma" w:hAnsi="Tahoma" w:cs="Tahoma"/>
          <w:bCs/>
          <w:sz w:val="24"/>
          <w:vertAlign w:val="superscript"/>
        </w:rPr>
        <w:t>st</w:t>
      </w:r>
      <w:r w:rsidRPr="001C264D">
        <w:rPr>
          <w:rFonts w:ascii="Tahoma" w:hAnsi="Tahoma" w:cs="Tahoma"/>
          <w:bCs/>
          <w:sz w:val="24"/>
        </w:rPr>
        <w:t xml:space="preserve"> March 2017 – 31</w:t>
      </w:r>
      <w:r w:rsidRPr="001C264D">
        <w:rPr>
          <w:rFonts w:ascii="Tahoma" w:hAnsi="Tahoma" w:cs="Tahoma"/>
          <w:bCs/>
          <w:sz w:val="24"/>
          <w:vertAlign w:val="superscript"/>
        </w:rPr>
        <w:t>st</w:t>
      </w:r>
      <w:r w:rsidRPr="001C264D">
        <w:rPr>
          <w:rFonts w:ascii="Tahoma" w:hAnsi="Tahoma" w:cs="Tahoma"/>
          <w:bCs/>
          <w:sz w:val="24"/>
        </w:rPr>
        <w:t xml:space="preserve"> August 2017 1 Exceptio</w:t>
      </w:r>
      <w:r w:rsidR="000A1318">
        <w:rPr>
          <w:rFonts w:ascii="Tahoma" w:hAnsi="Tahoma" w:cs="Tahoma"/>
          <w:bCs/>
          <w:sz w:val="24"/>
        </w:rPr>
        <w:t>n Report covering 6 related claims was</w:t>
      </w:r>
      <w:r w:rsidRPr="001C264D">
        <w:rPr>
          <w:rFonts w:ascii="Tahoma" w:hAnsi="Tahoma" w:cs="Tahoma"/>
          <w:bCs/>
          <w:sz w:val="24"/>
        </w:rPr>
        <w:t xml:space="preserve"> submitted to the PCC.</w:t>
      </w:r>
    </w:p>
    <w:p w:rsidR="004201C7" w:rsidRPr="009E3519" w:rsidRDefault="004201C7" w:rsidP="004201C7">
      <w:pPr>
        <w:ind w:left="720" w:hanging="720"/>
        <w:jc w:val="both"/>
        <w:rPr>
          <w:rFonts w:ascii="Tahoma" w:hAnsi="Tahoma" w:cs="Tahoma"/>
          <w:b/>
          <w:bCs/>
          <w:sz w:val="24"/>
        </w:rPr>
      </w:pPr>
    </w:p>
    <w:p w:rsidR="004201C7" w:rsidRDefault="004201C7" w:rsidP="004201C7">
      <w:pPr>
        <w:ind w:left="720" w:hanging="720"/>
        <w:jc w:val="both"/>
        <w:rPr>
          <w:rFonts w:ascii="Tahoma" w:hAnsi="Tahoma" w:cs="Tahoma"/>
          <w:b/>
          <w:bCs/>
          <w:sz w:val="24"/>
        </w:rPr>
      </w:pPr>
      <w:r>
        <w:rPr>
          <w:rFonts w:ascii="Tahoma" w:hAnsi="Tahoma" w:cs="Tahoma"/>
          <w:b/>
          <w:bCs/>
          <w:sz w:val="24"/>
        </w:rPr>
        <w:t>8.</w:t>
      </w:r>
      <w:r>
        <w:rPr>
          <w:rFonts w:ascii="Tahoma" w:hAnsi="Tahoma" w:cs="Tahoma"/>
          <w:b/>
          <w:bCs/>
          <w:sz w:val="24"/>
        </w:rPr>
        <w:tab/>
        <w:t>Implications</w:t>
      </w:r>
    </w:p>
    <w:p w:rsidR="004201C7" w:rsidRDefault="004201C7" w:rsidP="004201C7">
      <w:pPr>
        <w:jc w:val="both"/>
        <w:rPr>
          <w:rFonts w:ascii="Tahoma" w:hAnsi="Tahoma" w:cs="Tahoma"/>
          <w:szCs w:val="24"/>
        </w:rPr>
      </w:pPr>
    </w:p>
    <w:p w:rsidR="004201C7" w:rsidRDefault="004201C7" w:rsidP="004201C7">
      <w:pPr>
        <w:ind w:right="-1414"/>
        <w:rPr>
          <w:rFonts w:ascii="Tahoma" w:hAnsi="Tahoma" w:cs="Tahoma"/>
          <w:sz w:val="24"/>
          <w:szCs w:val="24"/>
        </w:rPr>
      </w:pPr>
      <w:r>
        <w:rPr>
          <w:rFonts w:ascii="Tahoma" w:hAnsi="Tahoma" w:cs="Tahoma"/>
          <w:bCs/>
          <w:sz w:val="24"/>
          <w:szCs w:val="24"/>
        </w:rPr>
        <w:t>8.1</w:t>
      </w:r>
      <w:r>
        <w:rPr>
          <w:rFonts w:ascii="Tahoma" w:hAnsi="Tahoma" w:cs="Tahoma"/>
          <w:b/>
          <w:bCs/>
          <w:sz w:val="24"/>
          <w:szCs w:val="24"/>
        </w:rPr>
        <w:tab/>
      </w:r>
      <w:r>
        <w:rPr>
          <w:rFonts w:ascii="Tahoma" w:hAnsi="Tahoma" w:cs="Tahoma"/>
          <w:bCs/>
          <w:sz w:val="24"/>
          <w:szCs w:val="24"/>
          <w:u w:val="single"/>
        </w:rPr>
        <w:t>Finance</w:t>
      </w:r>
    </w:p>
    <w:p w:rsidR="004201C7" w:rsidRPr="001C264D" w:rsidRDefault="004201C7" w:rsidP="004201C7">
      <w:pPr>
        <w:ind w:left="720"/>
        <w:rPr>
          <w:rFonts w:ascii="Tahoma" w:hAnsi="Tahoma" w:cs="Tahoma"/>
          <w:sz w:val="24"/>
          <w:szCs w:val="24"/>
        </w:rPr>
      </w:pPr>
      <w:r w:rsidRPr="001C264D">
        <w:rPr>
          <w:rFonts w:ascii="Tahoma" w:hAnsi="Tahoma" w:cs="Tahoma"/>
          <w:sz w:val="24"/>
          <w:szCs w:val="24"/>
        </w:rPr>
        <w:t xml:space="preserve">In relation to insured risks, the “excess” per claim during the period was £125,000.  The 6 related claims finalised within the period (see exception report) exceeded the “excess”.     </w:t>
      </w:r>
    </w:p>
    <w:p w:rsidR="004201C7" w:rsidRDefault="004201C7" w:rsidP="004201C7">
      <w:pPr>
        <w:rPr>
          <w:rFonts w:ascii="Tahoma" w:hAnsi="Tahoma" w:cs="Tahoma"/>
          <w:color w:val="FF0000"/>
          <w:sz w:val="24"/>
          <w:szCs w:val="24"/>
        </w:rPr>
      </w:pPr>
    </w:p>
    <w:p w:rsidR="004201C7" w:rsidRDefault="004201C7" w:rsidP="004201C7">
      <w:pPr>
        <w:ind w:left="720" w:hanging="720"/>
        <w:jc w:val="both"/>
        <w:rPr>
          <w:rFonts w:ascii="Tahoma" w:hAnsi="Tahoma" w:cs="Tahoma"/>
          <w:sz w:val="24"/>
          <w:szCs w:val="24"/>
        </w:rPr>
      </w:pPr>
      <w:r>
        <w:rPr>
          <w:rFonts w:ascii="Tahoma" w:hAnsi="Tahoma" w:cs="Tahoma"/>
          <w:sz w:val="24"/>
          <w:szCs w:val="24"/>
        </w:rPr>
        <w:t>8.2</w:t>
      </w:r>
      <w:r>
        <w:rPr>
          <w:rFonts w:ascii="Tahoma" w:hAnsi="Tahoma" w:cs="Tahoma"/>
          <w:sz w:val="24"/>
          <w:szCs w:val="24"/>
        </w:rPr>
        <w:tab/>
        <w:t>Although the sums paid out for insured risks outweigh the sums recovered, savings (in terms of potential damag</w:t>
      </w:r>
      <w:r w:rsidR="000A1318">
        <w:rPr>
          <w:rFonts w:ascii="Tahoma" w:hAnsi="Tahoma" w:cs="Tahoma"/>
          <w:sz w:val="24"/>
          <w:szCs w:val="24"/>
        </w:rPr>
        <w:t>es) have been made in those claims</w:t>
      </w:r>
      <w:r>
        <w:rPr>
          <w:rFonts w:ascii="Tahoma" w:hAnsi="Tahoma" w:cs="Tahoma"/>
          <w:sz w:val="24"/>
          <w:szCs w:val="24"/>
        </w:rPr>
        <w:t xml:space="preserve"> successfully defended and savings (in terms of solicitor’s costs) have been made by dealing with claims in-house.</w:t>
      </w:r>
    </w:p>
    <w:p w:rsidR="004201C7" w:rsidRDefault="004201C7" w:rsidP="004201C7">
      <w:pPr>
        <w:ind w:left="720" w:hanging="720"/>
        <w:jc w:val="both"/>
        <w:rPr>
          <w:rFonts w:ascii="Tahoma" w:hAnsi="Tahoma" w:cs="Tahoma"/>
          <w:sz w:val="24"/>
          <w:szCs w:val="24"/>
        </w:rPr>
      </w:pPr>
    </w:p>
    <w:p w:rsidR="004201C7" w:rsidRDefault="004201C7" w:rsidP="004201C7">
      <w:pPr>
        <w:rPr>
          <w:rFonts w:ascii="Tahoma" w:hAnsi="Tahoma" w:cs="Tahoma"/>
          <w:sz w:val="24"/>
          <w:szCs w:val="24"/>
          <w:u w:val="single"/>
        </w:rPr>
      </w:pPr>
      <w:r>
        <w:rPr>
          <w:rFonts w:ascii="Tahoma" w:hAnsi="Tahoma" w:cs="Tahoma"/>
          <w:sz w:val="24"/>
          <w:szCs w:val="24"/>
        </w:rPr>
        <w:t>8.3</w:t>
      </w:r>
      <w:r>
        <w:rPr>
          <w:rFonts w:ascii="Tahoma" w:hAnsi="Tahoma" w:cs="Tahoma"/>
          <w:sz w:val="24"/>
          <w:szCs w:val="24"/>
        </w:rPr>
        <w:tab/>
      </w:r>
      <w:r>
        <w:rPr>
          <w:rFonts w:ascii="Tahoma" w:hAnsi="Tahoma" w:cs="Tahoma"/>
          <w:sz w:val="24"/>
          <w:szCs w:val="24"/>
          <w:u w:val="single"/>
        </w:rPr>
        <w:t xml:space="preserve">Diversity &amp; Equal Opportunities </w:t>
      </w:r>
    </w:p>
    <w:p w:rsidR="004201C7" w:rsidRDefault="004201C7" w:rsidP="004201C7">
      <w:pPr>
        <w:ind w:left="709"/>
        <w:rPr>
          <w:rFonts w:ascii="Tahoma" w:hAnsi="Tahoma" w:cs="Tahoma"/>
          <w:sz w:val="24"/>
          <w:szCs w:val="24"/>
        </w:rPr>
      </w:pPr>
      <w:r>
        <w:rPr>
          <w:rFonts w:ascii="Tahoma" w:hAnsi="Tahoma" w:cs="Tahoma"/>
          <w:sz w:val="24"/>
          <w:szCs w:val="24"/>
        </w:rPr>
        <w:t>There are no diversity or equal opportunities implications arising from the content of this report.</w:t>
      </w:r>
    </w:p>
    <w:p w:rsidR="004201C7" w:rsidRDefault="004201C7" w:rsidP="004201C7">
      <w:pPr>
        <w:ind w:left="709"/>
        <w:rPr>
          <w:rFonts w:ascii="Tahoma" w:hAnsi="Tahoma" w:cs="Tahoma"/>
          <w:sz w:val="24"/>
          <w:szCs w:val="24"/>
        </w:rPr>
      </w:pPr>
    </w:p>
    <w:p w:rsidR="004201C7" w:rsidRDefault="004201C7" w:rsidP="004201C7">
      <w:pPr>
        <w:rPr>
          <w:rFonts w:ascii="Tahoma" w:hAnsi="Tahoma" w:cs="Tahoma"/>
          <w:sz w:val="24"/>
          <w:szCs w:val="24"/>
          <w:u w:val="single"/>
        </w:rPr>
      </w:pPr>
      <w:r>
        <w:rPr>
          <w:rFonts w:ascii="Tahoma" w:hAnsi="Tahoma" w:cs="Tahoma"/>
          <w:sz w:val="24"/>
          <w:szCs w:val="24"/>
        </w:rPr>
        <w:t>8.4</w:t>
      </w:r>
      <w:r>
        <w:rPr>
          <w:rFonts w:ascii="Tahoma" w:hAnsi="Tahoma" w:cs="Tahoma"/>
          <w:sz w:val="24"/>
          <w:szCs w:val="24"/>
        </w:rPr>
        <w:tab/>
      </w:r>
      <w:r>
        <w:rPr>
          <w:rFonts w:ascii="Tahoma" w:hAnsi="Tahoma" w:cs="Tahoma"/>
          <w:sz w:val="24"/>
          <w:szCs w:val="24"/>
          <w:u w:val="single"/>
        </w:rPr>
        <w:t>Humans Rights Act</w:t>
      </w:r>
    </w:p>
    <w:p w:rsidR="004201C7" w:rsidRDefault="004201C7" w:rsidP="004201C7">
      <w:pPr>
        <w:ind w:left="720"/>
        <w:rPr>
          <w:rFonts w:ascii="Tahoma" w:hAnsi="Tahoma" w:cs="Tahoma"/>
          <w:sz w:val="24"/>
          <w:szCs w:val="24"/>
        </w:rPr>
      </w:pPr>
      <w:r>
        <w:rPr>
          <w:rFonts w:ascii="Tahoma" w:hAnsi="Tahoma" w:cs="Tahoma"/>
          <w:sz w:val="24"/>
          <w:szCs w:val="24"/>
        </w:rPr>
        <w:t>There are no Human Rights Act implications arising from the content of this report.</w:t>
      </w:r>
    </w:p>
    <w:p w:rsidR="004201C7" w:rsidRDefault="004201C7" w:rsidP="004201C7">
      <w:pPr>
        <w:ind w:left="720"/>
        <w:rPr>
          <w:rFonts w:ascii="Tahoma" w:hAnsi="Tahoma" w:cs="Tahoma"/>
          <w:sz w:val="24"/>
          <w:szCs w:val="24"/>
        </w:rPr>
      </w:pPr>
    </w:p>
    <w:p w:rsidR="004201C7" w:rsidRDefault="004201C7" w:rsidP="004201C7">
      <w:pPr>
        <w:rPr>
          <w:rFonts w:ascii="Tahoma" w:hAnsi="Tahoma" w:cs="Tahoma"/>
          <w:sz w:val="24"/>
          <w:szCs w:val="24"/>
          <w:u w:val="single"/>
        </w:rPr>
      </w:pPr>
      <w:r>
        <w:rPr>
          <w:rFonts w:ascii="Tahoma" w:hAnsi="Tahoma" w:cs="Tahoma"/>
          <w:sz w:val="24"/>
          <w:szCs w:val="24"/>
        </w:rPr>
        <w:t>8.5</w:t>
      </w:r>
      <w:r>
        <w:rPr>
          <w:rFonts w:ascii="Tahoma" w:hAnsi="Tahoma" w:cs="Tahoma"/>
          <w:sz w:val="24"/>
          <w:szCs w:val="24"/>
        </w:rPr>
        <w:tab/>
      </w:r>
      <w:r>
        <w:rPr>
          <w:rFonts w:ascii="Tahoma" w:hAnsi="Tahoma" w:cs="Tahoma"/>
          <w:sz w:val="24"/>
          <w:szCs w:val="24"/>
          <w:u w:val="single"/>
        </w:rPr>
        <w:t xml:space="preserve">Sustainability </w:t>
      </w:r>
    </w:p>
    <w:p w:rsidR="004201C7" w:rsidRDefault="004201C7" w:rsidP="004201C7">
      <w:pPr>
        <w:ind w:left="709"/>
        <w:rPr>
          <w:rFonts w:ascii="Tahoma" w:hAnsi="Tahoma" w:cs="Tahoma"/>
          <w:sz w:val="24"/>
          <w:szCs w:val="24"/>
        </w:rPr>
      </w:pPr>
      <w:r>
        <w:rPr>
          <w:rFonts w:ascii="Tahoma" w:hAnsi="Tahoma" w:cs="Tahoma"/>
          <w:sz w:val="24"/>
          <w:szCs w:val="24"/>
        </w:rPr>
        <w:t>There are no sustainability implications arising from the content of this report.</w:t>
      </w:r>
    </w:p>
    <w:p w:rsidR="004201C7" w:rsidRDefault="004201C7" w:rsidP="004201C7">
      <w:pPr>
        <w:ind w:left="720"/>
        <w:rPr>
          <w:rFonts w:ascii="Tahoma" w:hAnsi="Tahoma" w:cs="Tahoma"/>
          <w:b/>
          <w:sz w:val="24"/>
          <w:szCs w:val="24"/>
        </w:rPr>
      </w:pPr>
    </w:p>
    <w:p w:rsidR="004201C7" w:rsidRDefault="004201C7" w:rsidP="004201C7">
      <w:pPr>
        <w:rPr>
          <w:rFonts w:ascii="Tahoma" w:hAnsi="Tahoma" w:cs="Tahoma"/>
          <w:sz w:val="24"/>
          <w:szCs w:val="24"/>
          <w:u w:val="single"/>
        </w:rPr>
      </w:pPr>
      <w:r>
        <w:rPr>
          <w:rFonts w:ascii="Tahoma" w:hAnsi="Tahoma" w:cs="Tahoma"/>
          <w:sz w:val="24"/>
          <w:szCs w:val="24"/>
        </w:rPr>
        <w:t>8.6</w:t>
      </w:r>
      <w:r>
        <w:rPr>
          <w:rFonts w:ascii="Tahoma" w:hAnsi="Tahoma" w:cs="Tahoma"/>
          <w:sz w:val="24"/>
          <w:szCs w:val="24"/>
        </w:rPr>
        <w:tab/>
      </w:r>
      <w:r>
        <w:rPr>
          <w:rFonts w:ascii="Tahoma" w:hAnsi="Tahoma" w:cs="Tahoma"/>
          <w:sz w:val="24"/>
          <w:szCs w:val="24"/>
          <w:u w:val="single"/>
        </w:rPr>
        <w:t>Risk</w:t>
      </w:r>
    </w:p>
    <w:p w:rsidR="004201C7" w:rsidRDefault="004201C7" w:rsidP="004201C7">
      <w:pPr>
        <w:ind w:left="709"/>
        <w:jc w:val="both"/>
        <w:rPr>
          <w:rFonts w:ascii="Tahoma" w:hAnsi="Tahoma" w:cs="Tahoma"/>
          <w:sz w:val="24"/>
          <w:szCs w:val="24"/>
        </w:rPr>
      </w:pPr>
      <w:r>
        <w:rPr>
          <w:rFonts w:ascii="Tahoma" w:hAnsi="Tahoma" w:cs="Tahoma"/>
          <w:sz w:val="24"/>
          <w:szCs w:val="24"/>
        </w:rPr>
        <w:t>There are reputational and financial risk implications arising from this report as clearly enforcing the law, i.e. exercising statutory powers to arrest, search, detain and prosecute has inherent risks that should be mitigated against through effective training, review, risk management, ‘lessons learned’ activities and peer review/inspection.</w:t>
      </w:r>
    </w:p>
    <w:p w:rsidR="004201C7" w:rsidRDefault="004201C7" w:rsidP="004201C7">
      <w:pPr>
        <w:ind w:left="709"/>
        <w:jc w:val="both"/>
        <w:rPr>
          <w:rFonts w:ascii="Tahoma" w:hAnsi="Tahoma" w:cs="Tahoma"/>
          <w:sz w:val="24"/>
          <w:szCs w:val="24"/>
        </w:rPr>
      </w:pPr>
    </w:p>
    <w:p w:rsidR="00D11B2D" w:rsidRDefault="00D11B2D" w:rsidP="004201C7">
      <w:pPr>
        <w:ind w:left="709"/>
        <w:jc w:val="both"/>
        <w:rPr>
          <w:rFonts w:ascii="Tahoma" w:hAnsi="Tahoma" w:cs="Tahoma"/>
          <w:sz w:val="24"/>
          <w:szCs w:val="24"/>
        </w:rPr>
      </w:pPr>
    </w:p>
    <w:p w:rsidR="004201C7" w:rsidRDefault="004201C7" w:rsidP="004201C7">
      <w:pPr>
        <w:ind w:left="709" w:hanging="709"/>
        <w:jc w:val="both"/>
        <w:rPr>
          <w:rFonts w:ascii="Tahoma" w:hAnsi="Tahoma" w:cs="Tahoma"/>
          <w:sz w:val="24"/>
          <w:szCs w:val="24"/>
        </w:rPr>
      </w:pPr>
      <w:r>
        <w:rPr>
          <w:rFonts w:ascii="Tahoma" w:hAnsi="Tahoma" w:cs="Tahoma"/>
          <w:sz w:val="24"/>
          <w:szCs w:val="24"/>
        </w:rPr>
        <w:t>8.7</w:t>
      </w:r>
      <w:r>
        <w:rPr>
          <w:rFonts w:ascii="Tahoma" w:hAnsi="Tahoma" w:cs="Tahoma"/>
          <w:sz w:val="24"/>
          <w:szCs w:val="24"/>
        </w:rPr>
        <w:tab/>
        <w:t xml:space="preserve">The Force has detailed policy and procedures that govern and direct the activities of individuals in areas of risk, i.e. police use of motor vehicles, detention in custody, the police use of force and our operational firearms response. In all these areas the regular review of litigation cases and other high profile operations takes place with policy forums to improve professional practice led by respective chief officers. </w:t>
      </w:r>
    </w:p>
    <w:p w:rsidR="004201C7" w:rsidRDefault="004201C7" w:rsidP="004201C7">
      <w:pPr>
        <w:ind w:left="709"/>
        <w:jc w:val="both"/>
        <w:rPr>
          <w:rFonts w:ascii="Tahoma" w:hAnsi="Tahoma" w:cs="Tahoma"/>
          <w:sz w:val="24"/>
          <w:szCs w:val="24"/>
        </w:rPr>
      </w:pPr>
    </w:p>
    <w:p w:rsidR="004201C7" w:rsidRDefault="004201C7" w:rsidP="004201C7">
      <w:pPr>
        <w:ind w:left="709" w:hanging="709"/>
        <w:jc w:val="both"/>
        <w:rPr>
          <w:rFonts w:ascii="Tahoma" w:hAnsi="Tahoma" w:cs="Tahoma"/>
          <w:sz w:val="24"/>
          <w:szCs w:val="24"/>
        </w:rPr>
      </w:pPr>
      <w:r>
        <w:rPr>
          <w:rFonts w:ascii="Tahoma" w:hAnsi="Tahoma" w:cs="Tahoma"/>
          <w:sz w:val="24"/>
          <w:szCs w:val="24"/>
        </w:rPr>
        <w:t>8.8</w:t>
      </w:r>
      <w:r>
        <w:rPr>
          <w:rFonts w:ascii="Tahoma" w:hAnsi="Tahoma" w:cs="Tahoma"/>
          <w:sz w:val="24"/>
          <w:szCs w:val="24"/>
        </w:rPr>
        <w:tab/>
        <w:t xml:space="preserve">Finally, our responsibility as an employer is also an area of litigation and cost where we seek to minimise risk and discharge our duties as a lawful, responsible and diligent employer. </w:t>
      </w:r>
    </w:p>
    <w:p w:rsidR="004201C7" w:rsidRDefault="004201C7" w:rsidP="00034D15">
      <w:pPr>
        <w:jc w:val="both"/>
        <w:rPr>
          <w:rFonts w:ascii="Tahoma" w:hAnsi="Tahoma" w:cs="Tahoma"/>
          <w:bCs/>
          <w:sz w:val="24"/>
        </w:rPr>
      </w:pPr>
    </w:p>
    <w:p w:rsidR="004201C7" w:rsidRDefault="004201C7" w:rsidP="004201C7">
      <w:pPr>
        <w:jc w:val="both"/>
        <w:rPr>
          <w:rFonts w:ascii="Tahoma" w:hAnsi="Tahoma" w:cs="Tahoma"/>
          <w:b/>
          <w:bCs/>
          <w:sz w:val="24"/>
        </w:rPr>
      </w:pPr>
      <w:r>
        <w:rPr>
          <w:rFonts w:ascii="Tahoma" w:hAnsi="Tahoma" w:cs="Tahoma"/>
          <w:b/>
          <w:bCs/>
          <w:sz w:val="24"/>
        </w:rPr>
        <w:t>9.</w:t>
      </w:r>
      <w:r>
        <w:rPr>
          <w:rFonts w:ascii="Tahoma" w:hAnsi="Tahoma" w:cs="Tahoma"/>
          <w:b/>
          <w:bCs/>
          <w:sz w:val="24"/>
        </w:rPr>
        <w:tab/>
        <w:t>Conclusions</w:t>
      </w:r>
    </w:p>
    <w:p w:rsidR="004201C7" w:rsidRDefault="004201C7" w:rsidP="004201C7">
      <w:pPr>
        <w:jc w:val="both"/>
        <w:rPr>
          <w:rFonts w:ascii="Tahoma" w:hAnsi="Tahoma" w:cs="Tahoma"/>
          <w:b/>
          <w:bCs/>
          <w:sz w:val="24"/>
        </w:rPr>
      </w:pPr>
    </w:p>
    <w:p w:rsidR="004201C7" w:rsidRDefault="004201C7" w:rsidP="004201C7">
      <w:pPr>
        <w:ind w:left="720" w:hanging="720"/>
        <w:jc w:val="both"/>
        <w:rPr>
          <w:rFonts w:ascii="Tahoma" w:hAnsi="Tahoma" w:cs="Tahoma"/>
          <w:bCs/>
          <w:sz w:val="24"/>
        </w:rPr>
      </w:pPr>
      <w:r>
        <w:rPr>
          <w:rFonts w:ascii="Tahoma" w:hAnsi="Tahoma" w:cs="Tahoma"/>
          <w:bCs/>
          <w:sz w:val="24"/>
        </w:rPr>
        <w:t>9.1</w:t>
      </w:r>
      <w:r>
        <w:rPr>
          <w:rFonts w:ascii="Tahoma" w:hAnsi="Tahoma" w:cs="Tahoma"/>
          <w:bCs/>
          <w:sz w:val="24"/>
        </w:rPr>
        <w:tab/>
        <w:t>Whilst Legal Services have no control over the number of claims received, feedback is provided on a case by case basis to ensure assistance is given to Service Units in managing risks. At the strategic level the Force takes its ‘risk’ around civil litigation very seriously and works tirelessly to ensure that ‘liability’ is reduced wherever possible and that the ‘l</w:t>
      </w:r>
      <w:r w:rsidR="000A1318">
        <w:rPr>
          <w:rFonts w:ascii="Tahoma" w:hAnsi="Tahoma" w:cs="Tahoma"/>
          <w:bCs/>
          <w:sz w:val="24"/>
        </w:rPr>
        <w:t>essons learnt’ from finalised claim</w:t>
      </w:r>
      <w:r>
        <w:rPr>
          <w:rFonts w:ascii="Tahoma" w:hAnsi="Tahoma" w:cs="Tahoma"/>
          <w:bCs/>
          <w:sz w:val="24"/>
        </w:rPr>
        <w:t xml:space="preserve">s are integrated into operational and organisational planning and delivery.   </w:t>
      </w:r>
    </w:p>
    <w:p w:rsidR="004201C7" w:rsidRDefault="004201C7" w:rsidP="004201C7">
      <w:pPr>
        <w:jc w:val="both"/>
        <w:rPr>
          <w:rFonts w:ascii="Tahoma" w:hAnsi="Tahoma" w:cs="Tahoma"/>
          <w:bCs/>
          <w:sz w:val="24"/>
        </w:rPr>
      </w:pPr>
    </w:p>
    <w:p w:rsidR="004201C7" w:rsidRDefault="004201C7" w:rsidP="004201C7">
      <w:pPr>
        <w:jc w:val="both"/>
        <w:rPr>
          <w:rFonts w:ascii="Tahoma" w:hAnsi="Tahoma" w:cs="Tahoma"/>
          <w:color w:val="FFC000"/>
          <w:szCs w:val="24"/>
        </w:rPr>
      </w:pPr>
    </w:p>
    <w:p w:rsidR="004201C7" w:rsidRDefault="004201C7" w:rsidP="004201C7">
      <w:pPr>
        <w:jc w:val="both"/>
        <w:rPr>
          <w:rFonts w:ascii="Tahoma" w:hAnsi="Tahoma" w:cs="Tahoma"/>
          <w:sz w:val="24"/>
          <w:szCs w:val="24"/>
        </w:rPr>
      </w:pPr>
      <w:r>
        <w:rPr>
          <w:rFonts w:ascii="Tahoma" w:hAnsi="Tahoma" w:cs="Tahoma"/>
          <w:sz w:val="24"/>
          <w:szCs w:val="24"/>
        </w:rPr>
        <w:t>Ian Spittal</w:t>
      </w:r>
    </w:p>
    <w:p w:rsidR="004201C7" w:rsidRDefault="004201C7" w:rsidP="004201C7">
      <w:pPr>
        <w:jc w:val="both"/>
        <w:rPr>
          <w:rFonts w:ascii="Tahoma" w:hAnsi="Tahoma" w:cs="Tahoma"/>
          <w:sz w:val="24"/>
          <w:szCs w:val="24"/>
        </w:rPr>
      </w:pPr>
      <w:r>
        <w:rPr>
          <w:rFonts w:ascii="Tahoma" w:hAnsi="Tahoma" w:cs="Tahoma"/>
          <w:sz w:val="24"/>
          <w:szCs w:val="24"/>
        </w:rPr>
        <w:t>Chief Constable</w:t>
      </w:r>
    </w:p>
    <w:p w:rsidR="004201C7" w:rsidRDefault="004201C7" w:rsidP="004201C7">
      <w:pPr>
        <w:jc w:val="both"/>
        <w:rPr>
          <w:rFonts w:ascii="Tahoma" w:hAnsi="Tahoma" w:cs="Tahoma"/>
          <w:sz w:val="24"/>
          <w:szCs w:val="24"/>
        </w:rPr>
      </w:pPr>
    </w:p>
    <w:p w:rsidR="004201C7" w:rsidRDefault="004201C7" w:rsidP="004201C7">
      <w:pPr>
        <w:jc w:val="both"/>
        <w:rPr>
          <w:rFonts w:ascii="Tahoma" w:hAnsi="Tahoma" w:cs="Tahoma"/>
          <w:sz w:val="24"/>
          <w:szCs w:val="24"/>
        </w:rPr>
      </w:pPr>
      <w:r>
        <w:rPr>
          <w:rFonts w:ascii="Tahoma" w:hAnsi="Tahoma" w:cs="Tahoma"/>
          <w:sz w:val="24"/>
          <w:szCs w:val="24"/>
        </w:rPr>
        <w:t>Originator of report</w:t>
      </w:r>
    </w:p>
    <w:p w:rsidR="004201C7" w:rsidRPr="00304755" w:rsidRDefault="004201C7" w:rsidP="004201C7">
      <w:pPr>
        <w:jc w:val="both"/>
        <w:rPr>
          <w:rFonts w:ascii="Tahoma" w:hAnsi="Tahoma" w:cs="Tahoma"/>
          <w:sz w:val="24"/>
          <w:szCs w:val="24"/>
        </w:rPr>
      </w:pPr>
      <w:r>
        <w:rPr>
          <w:rFonts w:ascii="Tahoma" w:hAnsi="Tahoma" w:cs="Tahoma"/>
          <w:sz w:val="24"/>
          <w:szCs w:val="24"/>
        </w:rPr>
        <w:t xml:space="preserve">J </w:t>
      </w:r>
      <w:r w:rsidRPr="00D64A8E">
        <w:rPr>
          <w:rFonts w:ascii="Calibri" w:hAnsi="Calibri" w:cs="Tahoma"/>
          <w:sz w:val="28"/>
          <w:szCs w:val="28"/>
        </w:rPr>
        <w:t>Monkman</w:t>
      </w:r>
      <w:r w:rsidRPr="00D64A8E">
        <w:rPr>
          <w:rFonts w:ascii="Calibri" w:hAnsi="Calibri"/>
          <w:sz w:val="28"/>
          <w:szCs w:val="28"/>
          <w:lang w:eastAsia="en-GB"/>
        </w:rPr>
        <w:t xml:space="preserve"> &amp; K Reeve</w:t>
      </w:r>
    </w:p>
    <w:p w:rsidR="004201C7" w:rsidRDefault="004201C7"/>
    <w:p w:rsidR="00034D15" w:rsidRDefault="00034D15"/>
    <w:p w:rsidR="00034D15" w:rsidRDefault="00034D15"/>
    <w:p w:rsidR="00034D15" w:rsidRDefault="00034D15"/>
    <w:p w:rsidR="00034D15" w:rsidRDefault="00034D15"/>
    <w:p w:rsidR="00034D15" w:rsidRDefault="00034D15"/>
    <w:p w:rsidR="00034D15" w:rsidRDefault="00034D15"/>
    <w:p w:rsidR="00034D15" w:rsidRDefault="00034D15"/>
    <w:p w:rsidR="00034D15" w:rsidRDefault="00034D15"/>
    <w:p w:rsidR="00034D15" w:rsidRDefault="00034D15"/>
    <w:p w:rsidR="00034D15" w:rsidRDefault="00034D15"/>
    <w:p w:rsidR="00034D15" w:rsidRDefault="00034D15"/>
    <w:p w:rsidR="00034D15" w:rsidRDefault="00034D15"/>
    <w:p w:rsidR="00034D15" w:rsidRDefault="00034D15"/>
    <w:p w:rsidR="00034D15" w:rsidRDefault="00034D15"/>
    <w:p w:rsidR="00A979C0" w:rsidRDefault="00A979C0"/>
    <w:p w:rsidR="00A979C0" w:rsidRDefault="00A979C0"/>
    <w:p w:rsidR="00A979C0" w:rsidRDefault="00A979C0"/>
    <w:p w:rsidR="00A979C0" w:rsidRDefault="00A979C0"/>
    <w:p w:rsidR="00A979C0" w:rsidRDefault="00A979C0"/>
    <w:p w:rsidR="00A979C0" w:rsidRDefault="00A979C0"/>
    <w:p w:rsidR="00A979C0" w:rsidRDefault="00A979C0"/>
    <w:p w:rsidR="00A979C0" w:rsidRDefault="00A979C0" w:rsidP="00A979C0">
      <w:pPr>
        <w:jc w:val="both"/>
        <w:rPr>
          <w:rFonts w:ascii="Arial" w:hAnsi="Arial" w:cs="Arial"/>
          <w:b/>
          <w:sz w:val="28"/>
          <w:szCs w:val="24"/>
        </w:rPr>
      </w:pPr>
      <w:r>
        <w:rPr>
          <w:rFonts w:ascii="Tahoma" w:hAnsi="Tahoma" w:cs="Tahoma"/>
          <w:noProof/>
          <w:lang w:eastAsia="en-GB"/>
        </w:rPr>
        <w:drawing>
          <wp:anchor distT="0" distB="0" distL="114300" distR="114300" simplePos="0" relativeHeight="251662336" behindDoc="0" locked="0" layoutInCell="1" allowOverlap="1" wp14:anchorId="212B9476" wp14:editId="1FEB25E5">
            <wp:simplePos x="0" y="0"/>
            <wp:positionH relativeFrom="column">
              <wp:posOffset>3838575</wp:posOffset>
            </wp:positionH>
            <wp:positionV relativeFrom="paragraph">
              <wp:posOffset>-762000</wp:posOffset>
            </wp:positionV>
            <wp:extent cx="2533650" cy="1066800"/>
            <wp:effectExtent l="0" t="0" r="0" b="0"/>
            <wp:wrapTopAndBottom/>
            <wp:docPr id="9" name="Picture 9"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 logo - landscape no pp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3365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79C0">
        <w:rPr>
          <w:rFonts w:ascii="Arial" w:hAnsi="Arial" w:cs="Arial"/>
          <w:b/>
          <w:sz w:val="28"/>
          <w:szCs w:val="24"/>
        </w:rPr>
        <w:t xml:space="preserve">Report to the Police &amp; Crime </w:t>
      </w:r>
    </w:p>
    <w:p w:rsidR="00A979C0" w:rsidRDefault="00A979C0" w:rsidP="00A979C0">
      <w:pPr>
        <w:jc w:val="both"/>
        <w:rPr>
          <w:rFonts w:ascii="Arial" w:hAnsi="Arial" w:cs="Arial"/>
          <w:b/>
          <w:sz w:val="28"/>
          <w:szCs w:val="24"/>
        </w:rPr>
      </w:pPr>
      <w:r w:rsidRPr="00A979C0">
        <w:rPr>
          <w:rFonts w:ascii="Arial" w:hAnsi="Arial" w:cs="Arial"/>
          <w:b/>
          <w:sz w:val="28"/>
          <w:szCs w:val="24"/>
        </w:rPr>
        <w:t>Commissioner for Cleveland</w:t>
      </w:r>
    </w:p>
    <w:p w:rsidR="00A979C0" w:rsidRPr="00A979C0" w:rsidRDefault="00A979C0" w:rsidP="00A979C0">
      <w:pPr>
        <w:jc w:val="both"/>
        <w:rPr>
          <w:rFonts w:ascii="Arial" w:hAnsi="Arial" w:cs="Arial"/>
          <w:b/>
          <w:sz w:val="28"/>
          <w:szCs w:val="24"/>
        </w:rPr>
      </w:pPr>
    </w:p>
    <w:p w:rsidR="00A979C0" w:rsidRDefault="00A979C0" w:rsidP="00A979C0">
      <w:pPr>
        <w:jc w:val="both"/>
        <w:rPr>
          <w:rFonts w:ascii="Arial" w:hAnsi="Arial" w:cs="Arial"/>
          <w:b/>
          <w:sz w:val="24"/>
          <w:szCs w:val="24"/>
          <w:u w:val="single"/>
        </w:rPr>
      </w:pPr>
    </w:p>
    <w:p w:rsidR="00A979C0" w:rsidRPr="00A979C0" w:rsidRDefault="00A979C0" w:rsidP="00A979C0">
      <w:pPr>
        <w:jc w:val="both"/>
        <w:rPr>
          <w:rFonts w:ascii="Arial" w:hAnsi="Arial" w:cs="Arial"/>
          <w:b/>
          <w:sz w:val="24"/>
          <w:szCs w:val="24"/>
          <w:u w:val="single"/>
        </w:rPr>
      </w:pPr>
      <w:r w:rsidRPr="00A979C0">
        <w:rPr>
          <w:rFonts w:ascii="Arial" w:hAnsi="Arial" w:cs="Arial"/>
          <w:b/>
          <w:sz w:val="24"/>
          <w:szCs w:val="24"/>
          <w:u w:val="single"/>
        </w:rPr>
        <w:t>Exception Reporting of Civil Claims Cases</w:t>
      </w:r>
    </w:p>
    <w:p w:rsidR="00A979C0" w:rsidRPr="00A979C0" w:rsidRDefault="00A979C0" w:rsidP="00A979C0">
      <w:pPr>
        <w:jc w:val="both"/>
        <w:rPr>
          <w:rFonts w:ascii="Arial" w:hAnsi="Arial" w:cs="Arial"/>
          <w:b/>
          <w:sz w:val="24"/>
          <w:szCs w:val="24"/>
        </w:rPr>
      </w:pPr>
    </w:p>
    <w:p w:rsidR="00A979C0" w:rsidRPr="00A979C0" w:rsidRDefault="00A979C0" w:rsidP="00A979C0">
      <w:pPr>
        <w:jc w:val="both"/>
        <w:rPr>
          <w:rFonts w:ascii="Arial" w:hAnsi="Arial" w:cs="Arial"/>
          <w:b/>
          <w:sz w:val="24"/>
          <w:szCs w:val="24"/>
        </w:rPr>
      </w:pPr>
    </w:p>
    <w:p w:rsidR="00A979C0" w:rsidRPr="00A979C0" w:rsidRDefault="00A979C0" w:rsidP="00A979C0">
      <w:pPr>
        <w:jc w:val="both"/>
        <w:rPr>
          <w:rFonts w:ascii="Arial" w:hAnsi="Arial" w:cs="Arial"/>
          <w:b/>
          <w:sz w:val="24"/>
          <w:szCs w:val="24"/>
        </w:rPr>
      </w:pPr>
      <w:r w:rsidRPr="00A979C0">
        <w:rPr>
          <w:rFonts w:ascii="Arial" w:hAnsi="Arial" w:cs="Arial"/>
          <w:b/>
          <w:sz w:val="24"/>
          <w:szCs w:val="24"/>
        </w:rPr>
        <w:t>Background</w:t>
      </w:r>
    </w:p>
    <w:p w:rsidR="00A979C0" w:rsidRPr="00A979C0" w:rsidRDefault="00A979C0" w:rsidP="00A979C0">
      <w:pPr>
        <w:jc w:val="both"/>
        <w:rPr>
          <w:rFonts w:ascii="Arial" w:hAnsi="Arial" w:cs="Arial"/>
          <w:b/>
          <w:sz w:val="24"/>
          <w:szCs w:val="24"/>
        </w:rPr>
      </w:pPr>
    </w:p>
    <w:p w:rsidR="00A979C0" w:rsidRPr="00A979C0" w:rsidRDefault="00A979C0" w:rsidP="00A979C0">
      <w:pPr>
        <w:jc w:val="both"/>
        <w:rPr>
          <w:rFonts w:ascii="Arial" w:hAnsi="Arial" w:cs="Arial"/>
          <w:sz w:val="24"/>
          <w:szCs w:val="24"/>
        </w:rPr>
      </w:pPr>
      <w:r w:rsidRPr="00A979C0">
        <w:rPr>
          <w:rFonts w:ascii="Arial" w:hAnsi="Arial" w:cs="Arial"/>
          <w:sz w:val="24"/>
          <w:szCs w:val="24"/>
        </w:rPr>
        <w:t xml:space="preserve">This report is being presented to the Police and Crime Commissioner following the settlement of several related civil claims as the amount paid exceeded the insurance ‘excess’ of £125,000. </w:t>
      </w:r>
    </w:p>
    <w:p w:rsidR="00A979C0" w:rsidRPr="00A979C0" w:rsidRDefault="00A979C0" w:rsidP="00A979C0">
      <w:pPr>
        <w:jc w:val="both"/>
        <w:rPr>
          <w:rFonts w:ascii="Arial" w:hAnsi="Arial" w:cs="Arial"/>
          <w:sz w:val="24"/>
          <w:szCs w:val="24"/>
        </w:rPr>
      </w:pPr>
    </w:p>
    <w:p w:rsidR="00A979C0" w:rsidRPr="00A979C0" w:rsidRDefault="00A979C0" w:rsidP="00A979C0">
      <w:pPr>
        <w:jc w:val="both"/>
        <w:rPr>
          <w:rFonts w:ascii="Arial" w:hAnsi="Arial" w:cs="Arial"/>
          <w:sz w:val="24"/>
          <w:szCs w:val="24"/>
        </w:rPr>
      </w:pPr>
      <w:r w:rsidRPr="00A979C0">
        <w:rPr>
          <w:rFonts w:ascii="Arial" w:hAnsi="Arial" w:cs="Arial"/>
          <w:sz w:val="24"/>
          <w:szCs w:val="24"/>
        </w:rPr>
        <w:t>The Force has insurance in place to cover payments for civil claims cases with an ‘excess’ of £125,000. This means that where any claims are settled above this level the Force pays the first £125,000 of the claim. Any claims settled below this amount are funded from Force budgets.</w:t>
      </w:r>
    </w:p>
    <w:p w:rsidR="00A979C0" w:rsidRPr="00A979C0" w:rsidRDefault="00A979C0" w:rsidP="00A979C0">
      <w:pPr>
        <w:jc w:val="both"/>
        <w:rPr>
          <w:rFonts w:ascii="Arial" w:hAnsi="Arial" w:cs="Arial"/>
          <w:sz w:val="24"/>
          <w:szCs w:val="24"/>
        </w:rPr>
      </w:pPr>
    </w:p>
    <w:p w:rsidR="00A979C0" w:rsidRPr="00A979C0" w:rsidRDefault="00A979C0" w:rsidP="00A979C0">
      <w:pPr>
        <w:jc w:val="both"/>
        <w:rPr>
          <w:rFonts w:ascii="Arial" w:hAnsi="Arial" w:cs="Arial"/>
          <w:b/>
          <w:sz w:val="24"/>
          <w:szCs w:val="24"/>
        </w:rPr>
      </w:pPr>
      <w:r w:rsidRPr="00A979C0">
        <w:rPr>
          <w:rFonts w:ascii="Arial" w:hAnsi="Arial" w:cs="Arial"/>
          <w:b/>
          <w:sz w:val="24"/>
          <w:szCs w:val="24"/>
        </w:rPr>
        <w:t>Summary of the Case</w:t>
      </w:r>
    </w:p>
    <w:p w:rsidR="00A979C0" w:rsidRPr="00A979C0" w:rsidRDefault="00A979C0" w:rsidP="00A979C0">
      <w:pPr>
        <w:jc w:val="both"/>
        <w:rPr>
          <w:rFonts w:ascii="Arial" w:hAnsi="Arial" w:cs="Arial"/>
          <w:b/>
          <w:sz w:val="24"/>
          <w:szCs w:val="24"/>
        </w:rPr>
      </w:pPr>
    </w:p>
    <w:p w:rsidR="00A979C0" w:rsidRPr="00A979C0" w:rsidRDefault="00A979C0" w:rsidP="00A979C0">
      <w:pPr>
        <w:jc w:val="both"/>
        <w:rPr>
          <w:rFonts w:ascii="Arial" w:hAnsi="Arial" w:cs="Arial"/>
          <w:sz w:val="24"/>
          <w:szCs w:val="24"/>
        </w:rPr>
      </w:pPr>
      <w:r w:rsidRPr="00A979C0">
        <w:rPr>
          <w:rFonts w:ascii="Arial" w:hAnsi="Arial" w:cs="Arial"/>
          <w:sz w:val="24"/>
          <w:szCs w:val="24"/>
        </w:rPr>
        <w:t>13 related claims were settled following the discontinuance of criminal proceedings in 2011. These matters sat with an IPCC managed enquiry which concluded in 2013 (Operation Pomeroy). The outcomes of that enquiry and the lessons learned were taken forward at that time.</w:t>
      </w:r>
    </w:p>
    <w:p w:rsidR="00A979C0" w:rsidRPr="00A979C0" w:rsidRDefault="00A979C0" w:rsidP="00A979C0">
      <w:pPr>
        <w:jc w:val="both"/>
        <w:rPr>
          <w:rFonts w:ascii="Arial" w:hAnsi="Arial" w:cs="Arial"/>
          <w:sz w:val="24"/>
          <w:szCs w:val="24"/>
        </w:rPr>
      </w:pPr>
    </w:p>
    <w:p w:rsidR="00A979C0" w:rsidRPr="00A979C0" w:rsidRDefault="00A979C0" w:rsidP="00A979C0">
      <w:pPr>
        <w:jc w:val="both"/>
        <w:rPr>
          <w:rFonts w:ascii="Arial" w:hAnsi="Arial" w:cs="Arial"/>
          <w:sz w:val="24"/>
          <w:szCs w:val="24"/>
        </w:rPr>
      </w:pPr>
      <w:r w:rsidRPr="00A979C0">
        <w:rPr>
          <w:rFonts w:ascii="Arial" w:hAnsi="Arial" w:cs="Arial"/>
          <w:sz w:val="24"/>
          <w:szCs w:val="24"/>
        </w:rPr>
        <w:t xml:space="preserve">Due to the circumstances of the individual claims, 3 insurance excesses were applied. As a result the force paid a total sum of £304, 165 (£125,000 + £125,000 + £54,165). The last claim to be finalised was finalised in March 2017.  </w:t>
      </w:r>
    </w:p>
    <w:p w:rsidR="00A979C0" w:rsidRPr="00A979C0" w:rsidRDefault="00A979C0" w:rsidP="00A979C0">
      <w:pPr>
        <w:jc w:val="both"/>
        <w:rPr>
          <w:rFonts w:ascii="Arial" w:hAnsi="Arial" w:cs="Arial"/>
          <w:b/>
          <w:sz w:val="24"/>
          <w:szCs w:val="24"/>
        </w:rPr>
      </w:pPr>
    </w:p>
    <w:p w:rsidR="00A979C0" w:rsidRPr="001910BA" w:rsidRDefault="00A979C0" w:rsidP="00A979C0">
      <w:pPr>
        <w:jc w:val="both"/>
        <w:rPr>
          <w:b/>
        </w:rPr>
      </w:pPr>
    </w:p>
    <w:p w:rsidR="00A979C0" w:rsidRPr="001910BA" w:rsidRDefault="00A979C0" w:rsidP="00A979C0">
      <w:pPr>
        <w:jc w:val="both"/>
        <w:rPr>
          <w:b/>
        </w:rPr>
      </w:pPr>
    </w:p>
    <w:p w:rsidR="00A979C0" w:rsidRPr="001910BA" w:rsidRDefault="00A979C0" w:rsidP="00A979C0">
      <w:pPr>
        <w:jc w:val="both"/>
        <w:rPr>
          <w:b/>
        </w:rPr>
      </w:pPr>
    </w:p>
    <w:p w:rsidR="00A979C0" w:rsidRPr="00A979C0" w:rsidRDefault="00A979C0" w:rsidP="00A979C0">
      <w:pPr>
        <w:jc w:val="both"/>
        <w:rPr>
          <w:rFonts w:ascii="Arial" w:hAnsi="Arial" w:cs="Arial"/>
          <w:b/>
        </w:rPr>
      </w:pPr>
    </w:p>
    <w:p w:rsidR="00A979C0" w:rsidRPr="00A979C0" w:rsidRDefault="00A979C0" w:rsidP="00A979C0">
      <w:pPr>
        <w:jc w:val="both"/>
        <w:rPr>
          <w:rFonts w:ascii="Arial" w:hAnsi="Arial" w:cs="Arial"/>
          <w:b/>
        </w:rPr>
      </w:pPr>
    </w:p>
    <w:p w:rsidR="00A979C0" w:rsidRPr="00A979C0" w:rsidRDefault="00A979C0" w:rsidP="00A979C0">
      <w:pPr>
        <w:jc w:val="both"/>
        <w:rPr>
          <w:rFonts w:ascii="Arial" w:hAnsi="Arial" w:cs="Arial"/>
          <w:b/>
        </w:rPr>
      </w:pPr>
    </w:p>
    <w:p w:rsidR="00A979C0" w:rsidRPr="00A979C0" w:rsidRDefault="00A979C0" w:rsidP="00A979C0">
      <w:pPr>
        <w:jc w:val="both"/>
        <w:rPr>
          <w:rFonts w:ascii="Arial" w:hAnsi="Arial" w:cs="Arial"/>
          <w:b/>
        </w:rPr>
      </w:pPr>
    </w:p>
    <w:p w:rsidR="00A979C0" w:rsidRPr="00A979C0" w:rsidRDefault="00A979C0" w:rsidP="00A979C0">
      <w:pPr>
        <w:jc w:val="both"/>
        <w:rPr>
          <w:rFonts w:ascii="Arial" w:hAnsi="Arial" w:cs="Arial"/>
          <w:b/>
          <w:sz w:val="24"/>
        </w:rPr>
      </w:pPr>
    </w:p>
    <w:p w:rsidR="00A979C0" w:rsidRPr="00A979C0" w:rsidRDefault="00A979C0" w:rsidP="00A979C0">
      <w:pPr>
        <w:jc w:val="both"/>
        <w:rPr>
          <w:rFonts w:ascii="Arial" w:hAnsi="Arial" w:cs="Arial"/>
          <w:b/>
          <w:sz w:val="24"/>
        </w:rPr>
      </w:pPr>
      <w:r w:rsidRPr="00A979C0">
        <w:rPr>
          <w:rFonts w:ascii="Arial" w:hAnsi="Arial" w:cs="Arial"/>
          <w:b/>
          <w:sz w:val="24"/>
        </w:rPr>
        <w:t xml:space="preserve">Iain </w:t>
      </w:r>
      <w:proofErr w:type="spellStart"/>
      <w:r w:rsidRPr="00A979C0">
        <w:rPr>
          <w:rFonts w:ascii="Arial" w:hAnsi="Arial" w:cs="Arial"/>
          <w:b/>
          <w:sz w:val="24"/>
        </w:rPr>
        <w:t>Spittal</w:t>
      </w:r>
      <w:proofErr w:type="spellEnd"/>
    </w:p>
    <w:p w:rsidR="00A979C0" w:rsidRPr="00A979C0" w:rsidRDefault="00A979C0" w:rsidP="00A979C0">
      <w:pPr>
        <w:jc w:val="both"/>
        <w:rPr>
          <w:rFonts w:ascii="Arial" w:hAnsi="Arial" w:cs="Arial"/>
          <w:b/>
          <w:sz w:val="24"/>
        </w:rPr>
      </w:pPr>
      <w:r w:rsidRPr="00A979C0">
        <w:rPr>
          <w:rFonts w:ascii="Arial" w:hAnsi="Arial" w:cs="Arial"/>
          <w:b/>
          <w:sz w:val="24"/>
        </w:rPr>
        <w:t>Chief Constable</w:t>
      </w:r>
    </w:p>
    <w:p w:rsidR="00A979C0" w:rsidRDefault="00A979C0" w:rsidP="00A979C0">
      <w:pPr>
        <w:jc w:val="both"/>
        <w:rPr>
          <w:b/>
        </w:rPr>
      </w:pPr>
    </w:p>
    <w:p w:rsidR="00A979C0" w:rsidRDefault="00A979C0" w:rsidP="00A979C0">
      <w:pPr>
        <w:rPr>
          <w:b/>
        </w:rPr>
      </w:pPr>
    </w:p>
    <w:p w:rsidR="00034D15" w:rsidRDefault="00034D15"/>
    <w:sectPr w:rsidR="00034D15">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004" w:rsidRDefault="00BD7004" w:rsidP="00602351">
      <w:r>
        <w:separator/>
      </w:r>
    </w:p>
  </w:endnote>
  <w:endnote w:type="continuationSeparator" w:id="0">
    <w:p w:rsidR="00BD7004" w:rsidRDefault="00BD7004" w:rsidP="00602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004" w:rsidRDefault="00BD7004" w:rsidP="00602351">
      <w:r>
        <w:separator/>
      </w:r>
    </w:p>
  </w:footnote>
  <w:footnote w:type="continuationSeparator" w:id="0">
    <w:p w:rsidR="00BD7004" w:rsidRDefault="00BD7004" w:rsidP="00602351">
      <w:r>
        <w:continuationSeparator/>
      </w:r>
    </w:p>
  </w:footnote>
  <w:footnote w:id="1">
    <w:p w:rsidR="002F59D6" w:rsidRDefault="002F59D6" w:rsidP="002F59D6">
      <w:pPr>
        <w:pStyle w:val="FootnoteText"/>
      </w:pPr>
      <w:r>
        <w:rPr>
          <w:rStyle w:val="FootnoteReference"/>
        </w:rPr>
        <w:footnoteRef/>
      </w:r>
      <w:r>
        <w:t xml:space="preserve"> It is important to note no findings were made by Judge/Jury in these cases as they were settled before any trial based upon legal advice on the prospects of a successful defence. Furthermore, in some cases liability/compensation may have been split with the Claimant or a partner agency. </w:t>
      </w:r>
      <w:r>
        <w:rPr>
          <w:rFonts w:ascii="Tahoma" w:hAnsi="Tahoma" w:cs="Tahoma"/>
        </w:rPr>
        <w:t xml:space="preserve"> </w:t>
      </w:r>
    </w:p>
  </w:footnote>
  <w:footnote w:id="2">
    <w:p w:rsidR="004201C7" w:rsidRDefault="004201C7" w:rsidP="004201C7">
      <w:pPr>
        <w:pStyle w:val="FootnoteText"/>
      </w:pPr>
      <w:r>
        <w:rPr>
          <w:rStyle w:val="FootnoteReference"/>
        </w:rPr>
        <w:footnoteRef/>
      </w:r>
      <w:r w:rsidR="00905E99">
        <w:t xml:space="preserve"> This figure may increase in the future as occasionally cases are re-opened and additional payments made. Re-opened cases are not reported as the trigger for inclusion in the report is the initial finalised date</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837"/>
      <w:gridCol w:w="3405"/>
    </w:tblGrid>
    <w:tr w:rsidR="00A979C0" w:rsidRPr="003742E2" w:rsidTr="003742E2">
      <w:tc>
        <w:tcPr>
          <w:tcW w:w="6228" w:type="dxa"/>
          <w:shd w:val="clear" w:color="auto" w:fill="auto"/>
        </w:tcPr>
        <w:p w:rsidR="00A979C0" w:rsidRPr="003742E2" w:rsidRDefault="00A979C0" w:rsidP="00A979C0">
          <w:pPr>
            <w:ind w:right="-108"/>
            <w:rPr>
              <w:rFonts w:ascii="Tahoma" w:hAnsi="Tahoma" w:cs="Tahoma"/>
            </w:rPr>
          </w:pPr>
        </w:p>
      </w:tc>
      <w:tc>
        <w:tcPr>
          <w:tcW w:w="3626" w:type="dxa"/>
          <w:shd w:val="clear" w:color="auto" w:fill="auto"/>
        </w:tcPr>
        <w:p w:rsidR="00A979C0" w:rsidRPr="003742E2" w:rsidRDefault="00A979C0" w:rsidP="003742E2">
          <w:pPr>
            <w:pStyle w:val="Header"/>
            <w:jc w:val="right"/>
            <w:rPr>
              <w:rFonts w:ascii="Tahoma" w:hAnsi="Tahoma" w:cs="Tahoma"/>
            </w:rPr>
          </w:pPr>
        </w:p>
      </w:tc>
    </w:tr>
  </w:tbl>
  <w:p w:rsidR="00A979C0" w:rsidRDefault="00A979C0" w:rsidP="001910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2588D"/>
    <w:multiLevelType w:val="multilevel"/>
    <w:tmpl w:val="B9129D16"/>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
    <w:nsid w:val="538E3B12"/>
    <w:multiLevelType w:val="hybridMultilevel"/>
    <w:tmpl w:val="AF18CF76"/>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08/12/2017 10:44"/>
  </w:docVars>
  <w:rsids>
    <w:rsidRoot w:val="009876DB"/>
    <w:rsid w:val="000307D1"/>
    <w:rsid w:val="00034D15"/>
    <w:rsid w:val="00061ECA"/>
    <w:rsid w:val="000A1318"/>
    <w:rsid w:val="000D5189"/>
    <w:rsid w:val="0014356D"/>
    <w:rsid w:val="001B7373"/>
    <w:rsid w:val="001F2615"/>
    <w:rsid w:val="00295C78"/>
    <w:rsid w:val="002F59D6"/>
    <w:rsid w:val="004201C7"/>
    <w:rsid w:val="004D47F4"/>
    <w:rsid w:val="00602351"/>
    <w:rsid w:val="006410DB"/>
    <w:rsid w:val="0065264E"/>
    <w:rsid w:val="006A7743"/>
    <w:rsid w:val="007B7AA8"/>
    <w:rsid w:val="007D5737"/>
    <w:rsid w:val="00905E99"/>
    <w:rsid w:val="009876DB"/>
    <w:rsid w:val="00A979C0"/>
    <w:rsid w:val="00AB2C28"/>
    <w:rsid w:val="00AE2BB5"/>
    <w:rsid w:val="00BD7004"/>
    <w:rsid w:val="00D11B2D"/>
    <w:rsid w:val="00D21DBD"/>
    <w:rsid w:val="00D51604"/>
    <w:rsid w:val="00F05168"/>
    <w:rsid w:val="00F349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6D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AA8"/>
    <w:rPr>
      <w:rFonts w:ascii="Tahoma" w:hAnsi="Tahoma" w:cs="Tahoma"/>
      <w:sz w:val="16"/>
      <w:szCs w:val="16"/>
    </w:rPr>
  </w:style>
  <w:style w:type="character" w:customStyle="1" w:styleId="BalloonTextChar">
    <w:name w:val="Balloon Text Char"/>
    <w:basedOn w:val="DefaultParagraphFont"/>
    <w:link w:val="BalloonText"/>
    <w:uiPriority w:val="99"/>
    <w:semiHidden/>
    <w:rsid w:val="007B7AA8"/>
    <w:rPr>
      <w:rFonts w:ascii="Tahoma" w:eastAsia="Times New Roman" w:hAnsi="Tahoma" w:cs="Tahoma"/>
      <w:sz w:val="16"/>
      <w:szCs w:val="16"/>
    </w:rPr>
  </w:style>
  <w:style w:type="paragraph" w:styleId="Header">
    <w:name w:val="header"/>
    <w:basedOn w:val="Normal"/>
    <w:link w:val="HeaderChar"/>
    <w:unhideWhenUsed/>
    <w:rsid w:val="00602351"/>
    <w:pPr>
      <w:tabs>
        <w:tab w:val="center" w:pos="4513"/>
        <w:tab w:val="right" w:pos="9026"/>
      </w:tabs>
    </w:pPr>
  </w:style>
  <w:style w:type="character" w:customStyle="1" w:styleId="HeaderChar">
    <w:name w:val="Header Char"/>
    <w:basedOn w:val="DefaultParagraphFont"/>
    <w:link w:val="Header"/>
    <w:uiPriority w:val="99"/>
    <w:rsid w:val="0060235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02351"/>
    <w:pPr>
      <w:tabs>
        <w:tab w:val="center" w:pos="4513"/>
        <w:tab w:val="right" w:pos="9026"/>
      </w:tabs>
    </w:pPr>
  </w:style>
  <w:style w:type="character" w:customStyle="1" w:styleId="FooterChar">
    <w:name w:val="Footer Char"/>
    <w:basedOn w:val="DefaultParagraphFont"/>
    <w:link w:val="Footer"/>
    <w:uiPriority w:val="99"/>
    <w:rsid w:val="00602351"/>
    <w:rPr>
      <w:rFonts w:ascii="Times New Roman" w:eastAsia="Times New Roman" w:hAnsi="Times New Roman" w:cs="Times New Roman"/>
      <w:sz w:val="20"/>
      <w:szCs w:val="20"/>
    </w:rPr>
  </w:style>
  <w:style w:type="paragraph" w:styleId="FootnoteText">
    <w:name w:val="footnote text"/>
    <w:basedOn w:val="Normal"/>
    <w:link w:val="FootnoteTextChar"/>
    <w:unhideWhenUsed/>
    <w:rsid w:val="00602351"/>
  </w:style>
  <w:style w:type="character" w:customStyle="1" w:styleId="FootnoteTextChar">
    <w:name w:val="Footnote Text Char"/>
    <w:basedOn w:val="DefaultParagraphFont"/>
    <w:link w:val="FootnoteText"/>
    <w:rsid w:val="00602351"/>
    <w:rPr>
      <w:rFonts w:ascii="Times New Roman" w:eastAsia="Times New Roman" w:hAnsi="Times New Roman" w:cs="Times New Roman"/>
      <w:sz w:val="20"/>
      <w:szCs w:val="20"/>
    </w:rPr>
  </w:style>
  <w:style w:type="character" w:styleId="FootnoteReference">
    <w:name w:val="footnote reference"/>
    <w:unhideWhenUsed/>
    <w:rsid w:val="006023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6D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AA8"/>
    <w:rPr>
      <w:rFonts w:ascii="Tahoma" w:hAnsi="Tahoma" w:cs="Tahoma"/>
      <w:sz w:val="16"/>
      <w:szCs w:val="16"/>
    </w:rPr>
  </w:style>
  <w:style w:type="character" w:customStyle="1" w:styleId="BalloonTextChar">
    <w:name w:val="Balloon Text Char"/>
    <w:basedOn w:val="DefaultParagraphFont"/>
    <w:link w:val="BalloonText"/>
    <w:uiPriority w:val="99"/>
    <w:semiHidden/>
    <w:rsid w:val="007B7AA8"/>
    <w:rPr>
      <w:rFonts w:ascii="Tahoma" w:eastAsia="Times New Roman" w:hAnsi="Tahoma" w:cs="Tahoma"/>
      <w:sz w:val="16"/>
      <w:szCs w:val="16"/>
    </w:rPr>
  </w:style>
  <w:style w:type="paragraph" w:styleId="Header">
    <w:name w:val="header"/>
    <w:basedOn w:val="Normal"/>
    <w:link w:val="HeaderChar"/>
    <w:unhideWhenUsed/>
    <w:rsid w:val="00602351"/>
    <w:pPr>
      <w:tabs>
        <w:tab w:val="center" w:pos="4513"/>
        <w:tab w:val="right" w:pos="9026"/>
      </w:tabs>
    </w:pPr>
  </w:style>
  <w:style w:type="character" w:customStyle="1" w:styleId="HeaderChar">
    <w:name w:val="Header Char"/>
    <w:basedOn w:val="DefaultParagraphFont"/>
    <w:link w:val="Header"/>
    <w:uiPriority w:val="99"/>
    <w:rsid w:val="0060235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02351"/>
    <w:pPr>
      <w:tabs>
        <w:tab w:val="center" w:pos="4513"/>
        <w:tab w:val="right" w:pos="9026"/>
      </w:tabs>
    </w:pPr>
  </w:style>
  <w:style w:type="character" w:customStyle="1" w:styleId="FooterChar">
    <w:name w:val="Footer Char"/>
    <w:basedOn w:val="DefaultParagraphFont"/>
    <w:link w:val="Footer"/>
    <w:uiPriority w:val="99"/>
    <w:rsid w:val="00602351"/>
    <w:rPr>
      <w:rFonts w:ascii="Times New Roman" w:eastAsia="Times New Roman" w:hAnsi="Times New Roman" w:cs="Times New Roman"/>
      <w:sz w:val="20"/>
      <w:szCs w:val="20"/>
    </w:rPr>
  </w:style>
  <w:style w:type="paragraph" w:styleId="FootnoteText">
    <w:name w:val="footnote text"/>
    <w:basedOn w:val="Normal"/>
    <w:link w:val="FootnoteTextChar"/>
    <w:unhideWhenUsed/>
    <w:rsid w:val="00602351"/>
  </w:style>
  <w:style w:type="character" w:customStyle="1" w:styleId="FootnoteTextChar">
    <w:name w:val="Footnote Text Char"/>
    <w:basedOn w:val="DefaultParagraphFont"/>
    <w:link w:val="FootnoteText"/>
    <w:rsid w:val="00602351"/>
    <w:rPr>
      <w:rFonts w:ascii="Times New Roman" w:eastAsia="Times New Roman" w:hAnsi="Times New Roman" w:cs="Times New Roman"/>
      <w:sz w:val="20"/>
      <w:szCs w:val="20"/>
    </w:rPr>
  </w:style>
  <w:style w:type="character" w:styleId="FootnoteReference">
    <w:name w:val="footnote reference"/>
    <w:unhideWhenUsed/>
    <w:rsid w:val="006023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file:///\\cleveland.police.cjx.gov.uk\root\Support\Legal%20Services\legal\c6990\PCC%20Report\Claims%20received%201.3.17%20-%2031.8.1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leveland.police.cjx.gov.uk\root\Support\Legal%20Services\legal\c6990\PCC%20Report\Claims%20received%20with%20incident%20dat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4"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4"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5"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Claims Received March</a:t>
            </a:r>
            <a:r>
              <a:rPr lang="en-GB" baseline="0"/>
              <a:t> to August</a:t>
            </a:r>
            <a:endParaRPr lang="en-GB"/>
          </a:p>
        </c:rich>
      </c:tx>
      <c:layout/>
      <c:overlay val="0"/>
    </c:title>
    <c:autoTitleDeleted val="0"/>
    <c:plotArea>
      <c:layout/>
      <c:barChart>
        <c:barDir val="col"/>
        <c:grouping val="clustered"/>
        <c:varyColors val="0"/>
        <c:ser>
          <c:idx val="0"/>
          <c:order val="0"/>
          <c:tx>
            <c:strRef>
              <c:f>Sheet1!$B$3</c:f>
              <c:strCache>
                <c:ptCount val="1"/>
                <c:pt idx="0">
                  <c:v>Employer's Liability</c:v>
                </c:pt>
              </c:strCache>
            </c:strRef>
          </c:tx>
          <c:invertIfNegative val="0"/>
          <c:cat>
            <c:numRef>
              <c:f>Sheet1!$A$4:$A$5</c:f>
              <c:numCache>
                <c:formatCode>General</c:formatCode>
                <c:ptCount val="2"/>
                <c:pt idx="0">
                  <c:v>2016</c:v>
                </c:pt>
                <c:pt idx="1">
                  <c:v>2017</c:v>
                </c:pt>
              </c:numCache>
            </c:numRef>
          </c:cat>
          <c:val>
            <c:numRef>
              <c:f>Sheet1!$B$4:$B$5</c:f>
              <c:numCache>
                <c:formatCode>General</c:formatCode>
                <c:ptCount val="2"/>
                <c:pt idx="0">
                  <c:v>3</c:v>
                </c:pt>
                <c:pt idx="1">
                  <c:v>5</c:v>
                </c:pt>
              </c:numCache>
            </c:numRef>
          </c:val>
        </c:ser>
        <c:ser>
          <c:idx val="1"/>
          <c:order val="1"/>
          <c:tx>
            <c:strRef>
              <c:f>Sheet1!$C$3</c:f>
              <c:strCache>
                <c:ptCount val="1"/>
                <c:pt idx="0">
                  <c:v>Public Liability</c:v>
                </c:pt>
              </c:strCache>
            </c:strRef>
          </c:tx>
          <c:invertIfNegative val="0"/>
          <c:cat>
            <c:numRef>
              <c:f>Sheet1!$A$4:$A$5</c:f>
              <c:numCache>
                <c:formatCode>General</c:formatCode>
                <c:ptCount val="2"/>
                <c:pt idx="0">
                  <c:v>2016</c:v>
                </c:pt>
                <c:pt idx="1">
                  <c:v>2017</c:v>
                </c:pt>
              </c:numCache>
            </c:numRef>
          </c:cat>
          <c:val>
            <c:numRef>
              <c:f>Sheet1!$C$4:$C$5</c:f>
              <c:numCache>
                <c:formatCode>General</c:formatCode>
                <c:ptCount val="2"/>
                <c:pt idx="0">
                  <c:v>24</c:v>
                </c:pt>
                <c:pt idx="1">
                  <c:v>35</c:v>
                </c:pt>
              </c:numCache>
            </c:numRef>
          </c:val>
        </c:ser>
        <c:ser>
          <c:idx val="2"/>
          <c:order val="2"/>
          <c:tx>
            <c:strRef>
              <c:f>Sheet1!$D$3</c:f>
              <c:strCache>
                <c:ptCount val="1"/>
                <c:pt idx="0">
                  <c:v>Motor Liability</c:v>
                </c:pt>
              </c:strCache>
            </c:strRef>
          </c:tx>
          <c:invertIfNegative val="0"/>
          <c:cat>
            <c:numRef>
              <c:f>Sheet1!$A$4:$A$5</c:f>
              <c:numCache>
                <c:formatCode>General</c:formatCode>
                <c:ptCount val="2"/>
                <c:pt idx="0">
                  <c:v>2016</c:v>
                </c:pt>
                <c:pt idx="1">
                  <c:v>2017</c:v>
                </c:pt>
              </c:numCache>
            </c:numRef>
          </c:cat>
          <c:val>
            <c:numRef>
              <c:f>Sheet1!$D$4:$D$5</c:f>
              <c:numCache>
                <c:formatCode>General</c:formatCode>
                <c:ptCount val="2"/>
                <c:pt idx="0">
                  <c:v>16</c:v>
                </c:pt>
                <c:pt idx="1">
                  <c:v>14</c:v>
                </c:pt>
              </c:numCache>
            </c:numRef>
          </c:val>
        </c:ser>
        <c:dLbls>
          <c:showLegendKey val="0"/>
          <c:showVal val="0"/>
          <c:showCatName val="0"/>
          <c:showSerName val="0"/>
          <c:showPercent val="0"/>
          <c:showBubbleSize val="0"/>
        </c:dLbls>
        <c:gapWidth val="150"/>
        <c:axId val="111590016"/>
        <c:axId val="111596288"/>
      </c:barChart>
      <c:catAx>
        <c:axId val="111590016"/>
        <c:scaling>
          <c:orientation val="minMax"/>
        </c:scaling>
        <c:delete val="0"/>
        <c:axPos val="b"/>
        <c:title>
          <c:tx>
            <c:rich>
              <a:bodyPr/>
              <a:lstStyle/>
              <a:p>
                <a:pPr>
                  <a:defRPr/>
                </a:pPr>
                <a:r>
                  <a:rPr lang="en-GB"/>
                  <a:t>Type of Claim</a:t>
                </a:r>
              </a:p>
            </c:rich>
          </c:tx>
          <c:layout/>
          <c:overlay val="0"/>
        </c:title>
        <c:numFmt formatCode="General" sourceLinked="1"/>
        <c:majorTickMark val="out"/>
        <c:minorTickMark val="none"/>
        <c:tickLblPos val="nextTo"/>
        <c:crossAx val="111596288"/>
        <c:crosses val="autoZero"/>
        <c:auto val="1"/>
        <c:lblAlgn val="ctr"/>
        <c:lblOffset val="100"/>
        <c:tickLblSkip val="1"/>
        <c:noMultiLvlLbl val="0"/>
      </c:catAx>
      <c:valAx>
        <c:axId val="111596288"/>
        <c:scaling>
          <c:orientation val="minMax"/>
        </c:scaling>
        <c:delete val="0"/>
        <c:axPos val="l"/>
        <c:majorGridlines/>
        <c:title>
          <c:tx>
            <c:rich>
              <a:bodyPr rot="-5400000" vert="horz"/>
              <a:lstStyle/>
              <a:p>
                <a:pPr>
                  <a:defRPr/>
                </a:pPr>
                <a:r>
                  <a:rPr lang="en-GB"/>
                  <a:t>Number of Claims Received</a:t>
                </a:r>
              </a:p>
            </c:rich>
          </c:tx>
          <c:layout/>
          <c:overlay val="0"/>
        </c:title>
        <c:numFmt formatCode="General" sourceLinked="1"/>
        <c:majorTickMark val="out"/>
        <c:minorTickMark val="none"/>
        <c:tickLblPos val="nextTo"/>
        <c:crossAx val="111590016"/>
        <c:crosses val="autoZero"/>
        <c:crossBetween val="between"/>
        <c:majorUnit val="2"/>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Incident Dates of Claims Received </a:t>
            </a:r>
          </a:p>
          <a:p>
            <a:pPr>
              <a:defRPr/>
            </a:pPr>
            <a:r>
              <a:rPr lang="en-GB"/>
              <a:t>1.3.17-31.8.17</a:t>
            </a:r>
          </a:p>
        </c:rich>
      </c:tx>
      <c:overlay val="0"/>
    </c:title>
    <c:autoTitleDeleted val="0"/>
    <c:plotArea>
      <c:layout/>
      <c:barChart>
        <c:barDir val="col"/>
        <c:grouping val="clustered"/>
        <c:varyColors val="0"/>
        <c:ser>
          <c:idx val="0"/>
          <c:order val="0"/>
          <c:tx>
            <c:strRef>
              <c:f>Sheet1!$A$2</c:f>
              <c:strCache>
                <c:ptCount val="1"/>
                <c:pt idx="0">
                  <c:v>Employer's Liability</c:v>
                </c:pt>
              </c:strCache>
            </c:strRef>
          </c:tx>
          <c:invertIfNegative val="0"/>
          <c:cat>
            <c:numRef>
              <c:f>Sheet1!$B$1:$P$1</c:f>
              <c:numCache>
                <c:formatCode>General</c:formatCode>
                <c:ptCount val="15"/>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numCache>
            </c:numRef>
          </c:cat>
          <c:val>
            <c:numRef>
              <c:f>Sheet1!$B$2:$P$2</c:f>
              <c:numCache>
                <c:formatCode>General</c:formatCode>
                <c:ptCount val="15"/>
                <c:pt idx="0">
                  <c:v>1</c:v>
                </c:pt>
                <c:pt idx="1">
                  <c:v>0</c:v>
                </c:pt>
                <c:pt idx="2">
                  <c:v>0</c:v>
                </c:pt>
                <c:pt idx="3">
                  <c:v>0</c:v>
                </c:pt>
                <c:pt idx="4">
                  <c:v>0</c:v>
                </c:pt>
                <c:pt idx="5">
                  <c:v>0</c:v>
                </c:pt>
                <c:pt idx="6">
                  <c:v>1</c:v>
                </c:pt>
                <c:pt idx="7">
                  <c:v>1</c:v>
                </c:pt>
                <c:pt idx="8">
                  <c:v>0</c:v>
                </c:pt>
                <c:pt idx="9">
                  <c:v>0</c:v>
                </c:pt>
                <c:pt idx="10">
                  <c:v>0</c:v>
                </c:pt>
                <c:pt idx="11">
                  <c:v>0</c:v>
                </c:pt>
                <c:pt idx="12">
                  <c:v>0</c:v>
                </c:pt>
                <c:pt idx="13">
                  <c:v>2</c:v>
                </c:pt>
                <c:pt idx="14">
                  <c:v>0</c:v>
                </c:pt>
              </c:numCache>
            </c:numRef>
          </c:val>
        </c:ser>
        <c:ser>
          <c:idx val="1"/>
          <c:order val="1"/>
          <c:tx>
            <c:strRef>
              <c:f>Sheet1!$A$3</c:f>
              <c:strCache>
                <c:ptCount val="1"/>
                <c:pt idx="0">
                  <c:v>Public Liability</c:v>
                </c:pt>
              </c:strCache>
            </c:strRef>
          </c:tx>
          <c:invertIfNegative val="0"/>
          <c:cat>
            <c:numRef>
              <c:f>Sheet1!$B$1:$P$1</c:f>
              <c:numCache>
                <c:formatCode>General</c:formatCode>
                <c:ptCount val="15"/>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numCache>
            </c:numRef>
          </c:cat>
          <c:val>
            <c:numRef>
              <c:f>Sheet1!$B$3:$P$3</c:f>
              <c:numCache>
                <c:formatCode>General</c:formatCode>
                <c:ptCount val="15"/>
                <c:pt idx="0">
                  <c:v>0</c:v>
                </c:pt>
                <c:pt idx="1">
                  <c:v>0</c:v>
                </c:pt>
                <c:pt idx="2">
                  <c:v>0</c:v>
                </c:pt>
                <c:pt idx="3">
                  <c:v>0</c:v>
                </c:pt>
                <c:pt idx="4">
                  <c:v>0</c:v>
                </c:pt>
                <c:pt idx="5">
                  <c:v>0</c:v>
                </c:pt>
                <c:pt idx="6">
                  <c:v>2</c:v>
                </c:pt>
                <c:pt idx="7">
                  <c:v>1</c:v>
                </c:pt>
                <c:pt idx="8">
                  <c:v>3</c:v>
                </c:pt>
                <c:pt idx="9">
                  <c:v>4</c:v>
                </c:pt>
                <c:pt idx="10">
                  <c:v>2</c:v>
                </c:pt>
                <c:pt idx="11">
                  <c:v>2</c:v>
                </c:pt>
                <c:pt idx="12">
                  <c:v>4</c:v>
                </c:pt>
                <c:pt idx="13">
                  <c:v>10</c:v>
                </c:pt>
                <c:pt idx="14">
                  <c:v>7</c:v>
                </c:pt>
              </c:numCache>
            </c:numRef>
          </c:val>
        </c:ser>
        <c:ser>
          <c:idx val="2"/>
          <c:order val="2"/>
          <c:tx>
            <c:strRef>
              <c:f>Sheet1!$A$4</c:f>
              <c:strCache>
                <c:ptCount val="1"/>
                <c:pt idx="0">
                  <c:v>Motor Liability</c:v>
                </c:pt>
              </c:strCache>
            </c:strRef>
          </c:tx>
          <c:invertIfNegative val="0"/>
          <c:cat>
            <c:numRef>
              <c:f>Sheet1!$B$1:$P$1</c:f>
              <c:numCache>
                <c:formatCode>General</c:formatCode>
                <c:ptCount val="15"/>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numCache>
            </c:numRef>
          </c:cat>
          <c:val>
            <c:numRef>
              <c:f>Sheet1!$B$4:$P$4</c:f>
              <c:numCache>
                <c:formatCode>General</c:formatCode>
                <c:ptCount val="1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14</c:v>
                </c:pt>
              </c:numCache>
            </c:numRef>
          </c:val>
        </c:ser>
        <c:dLbls>
          <c:showLegendKey val="0"/>
          <c:showVal val="0"/>
          <c:showCatName val="0"/>
          <c:showSerName val="0"/>
          <c:showPercent val="0"/>
          <c:showBubbleSize val="0"/>
        </c:dLbls>
        <c:gapWidth val="150"/>
        <c:axId val="112024192"/>
        <c:axId val="112038656"/>
      </c:barChart>
      <c:catAx>
        <c:axId val="112024192"/>
        <c:scaling>
          <c:orientation val="minMax"/>
        </c:scaling>
        <c:delete val="0"/>
        <c:axPos val="b"/>
        <c:title>
          <c:tx>
            <c:rich>
              <a:bodyPr/>
              <a:lstStyle/>
              <a:p>
                <a:pPr>
                  <a:defRPr/>
                </a:pPr>
                <a:r>
                  <a:rPr lang="en-US"/>
                  <a:t>Incident Date </a:t>
                </a:r>
              </a:p>
            </c:rich>
          </c:tx>
          <c:overlay val="0"/>
        </c:title>
        <c:numFmt formatCode="General" sourceLinked="1"/>
        <c:majorTickMark val="out"/>
        <c:minorTickMark val="none"/>
        <c:tickLblPos val="nextTo"/>
        <c:crossAx val="112038656"/>
        <c:crosses val="autoZero"/>
        <c:auto val="1"/>
        <c:lblAlgn val="ctr"/>
        <c:lblOffset val="100"/>
        <c:tickLblSkip val="1"/>
        <c:noMultiLvlLbl val="0"/>
      </c:catAx>
      <c:valAx>
        <c:axId val="112038656"/>
        <c:scaling>
          <c:orientation val="minMax"/>
        </c:scaling>
        <c:delete val="0"/>
        <c:axPos val="l"/>
        <c:majorGridlines/>
        <c:title>
          <c:tx>
            <c:rich>
              <a:bodyPr rot="-5400000" vert="horz"/>
              <a:lstStyle/>
              <a:p>
                <a:pPr>
                  <a:defRPr/>
                </a:pPr>
                <a:r>
                  <a:rPr lang="en-US"/>
                  <a:t>Number of claims received</a:t>
                </a:r>
              </a:p>
            </c:rich>
          </c:tx>
          <c:overlay val="0"/>
        </c:title>
        <c:numFmt formatCode="General" sourceLinked="1"/>
        <c:majorTickMark val="out"/>
        <c:minorTickMark val="none"/>
        <c:tickLblPos val="nextTo"/>
        <c:crossAx val="11202419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Claims Finalised 1.3.17-31.8.17</a:t>
            </a:r>
          </a:p>
        </c:rich>
      </c:tx>
      <c:overlay val="0"/>
    </c:title>
    <c:autoTitleDeleted val="0"/>
    <c:plotArea>
      <c:layout/>
      <c:barChart>
        <c:barDir val="col"/>
        <c:grouping val="clustered"/>
        <c:varyColors val="0"/>
        <c:ser>
          <c:idx val="0"/>
          <c:order val="0"/>
          <c:tx>
            <c:strRef>
              <c:f>Sheet1!$B$1</c:f>
              <c:strCache>
                <c:ptCount val="1"/>
                <c:pt idx="0">
                  <c:v>Employer's Liability</c:v>
                </c:pt>
              </c:strCache>
            </c:strRef>
          </c:tx>
          <c:invertIfNegative val="0"/>
          <c:cat>
            <c:strRef>
              <c:f>Sheet1!$A$2:$A$5</c:f>
              <c:strCache>
                <c:ptCount val="4"/>
                <c:pt idx="0">
                  <c:v>Negotiated Settlement</c:v>
                </c:pt>
                <c:pt idx="1">
                  <c:v>Claimant Won Trial</c:v>
                </c:pt>
                <c:pt idx="2">
                  <c:v>Chief Won Trial</c:v>
                </c:pt>
                <c:pt idx="3">
                  <c:v>Claim Withdrawn</c:v>
                </c:pt>
              </c:strCache>
            </c:strRef>
          </c:cat>
          <c:val>
            <c:numRef>
              <c:f>Sheet1!$B$2:$B$5</c:f>
              <c:numCache>
                <c:formatCode>General</c:formatCode>
                <c:ptCount val="4"/>
                <c:pt idx="0">
                  <c:v>2</c:v>
                </c:pt>
                <c:pt idx="1">
                  <c:v>0</c:v>
                </c:pt>
                <c:pt idx="2">
                  <c:v>0</c:v>
                </c:pt>
                <c:pt idx="3">
                  <c:v>2</c:v>
                </c:pt>
              </c:numCache>
            </c:numRef>
          </c:val>
        </c:ser>
        <c:ser>
          <c:idx val="1"/>
          <c:order val="1"/>
          <c:tx>
            <c:strRef>
              <c:f>Sheet1!$C$1</c:f>
              <c:strCache>
                <c:ptCount val="1"/>
                <c:pt idx="0">
                  <c:v>Public Liability</c:v>
                </c:pt>
              </c:strCache>
            </c:strRef>
          </c:tx>
          <c:invertIfNegative val="0"/>
          <c:cat>
            <c:strRef>
              <c:f>Sheet1!$A$2:$A$5</c:f>
              <c:strCache>
                <c:ptCount val="4"/>
                <c:pt idx="0">
                  <c:v>Negotiated Settlement</c:v>
                </c:pt>
                <c:pt idx="1">
                  <c:v>Claimant Won Trial</c:v>
                </c:pt>
                <c:pt idx="2">
                  <c:v>Chief Won Trial</c:v>
                </c:pt>
                <c:pt idx="3">
                  <c:v>Claim Withdrawn</c:v>
                </c:pt>
              </c:strCache>
            </c:strRef>
          </c:cat>
          <c:val>
            <c:numRef>
              <c:f>Sheet1!$C$2:$C$5</c:f>
              <c:numCache>
                <c:formatCode>General</c:formatCode>
                <c:ptCount val="4"/>
                <c:pt idx="0">
                  <c:v>8</c:v>
                </c:pt>
                <c:pt idx="1">
                  <c:v>0</c:v>
                </c:pt>
                <c:pt idx="2">
                  <c:v>0</c:v>
                </c:pt>
                <c:pt idx="3">
                  <c:v>26</c:v>
                </c:pt>
              </c:numCache>
            </c:numRef>
          </c:val>
        </c:ser>
        <c:ser>
          <c:idx val="2"/>
          <c:order val="2"/>
          <c:tx>
            <c:strRef>
              <c:f>Sheet1!$D$1</c:f>
              <c:strCache>
                <c:ptCount val="1"/>
                <c:pt idx="0">
                  <c:v>Motor Liability</c:v>
                </c:pt>
              </c:strCache>
            </c:strRef>
          </c:tx>
          <c:invertIfNegative val="0"/>
          <c:cat>
            <c:strRef>
              <c:f>Sheet1!$A$2:$A$5</c:f>
              <c:strCache>
                <c:ptCount val="4"/>
                <c:pt idx="0">
                  <c:v>Negotiated Settlement</c:v>
                </c:pt>
                <c:pt idx="1">
                  <c:v>Claimant Won Trial</c:v>
                </c:pt>
                <c:pt idx="2">
                  <c:v>Chief Won Trial</c:v>
                </c:pt>
                <c:pt idx="3">
                  <c:v>Claim Withdrawn</c:v>
                </c:pt>
              </c:strCache>
            </c:strRef>
          </c:cat>
          <c:val>
            <c:numRef>
              <c:f>Sheet1!$D$2:$D$5</c:f>
              <c:numCache>
                <c:formatCode>General</c:formatCode>
                <c:ptCount val="4"/>
                <c:pt idx="0">
                  <c:v>14</c:v>
                </c:pt>
                <c:pt idx="1">
                  <c:v>0</c:v>
                </c:pt>
                <c:pt idx="2">
                  <c:v>0</c:v>
                </c:pt>
                <c:pt idx="3">
                  <c:v>12</c:v>
                </c:pt>
              </c:numCache>
            </c:numRef>
          </c:val>
        </c:ser>
        <c:dLbls>
          <c:showLegendKey val="0"/>
          <c:showVal val="0"/>
          <c:showCatName val="0"/>
          <c:showSerName val="0"/>
          <c:showPercent val="0"/>
          <c:showBubbleSize val="0"/>
        </c:dLbls>
        <c:gapWidth val="150"/>
        <c:axId val="112986752"/>
        <c:axId val="112993024"/>
      </c:barChart>
      <c:catAx>
        <c:axId val="112986752"/>
        <c:scaling>
          <c:orientation val="minMax"/>
        </c:scaling>
        <c:delete val="0"/>
        <c:axPos val="b"/>
        <c:title>
          <c:tx>
            <c:rich>
              <a:bodyPr/>
              <a:lstStyle/>
              <a:p>
                <a:pPr>
                  <a:defRPr/>
                </a:pPr>
                <a:r>
                  <a:rPr lang="en-US"/>
                  <a:t>Type of Closure</a:t>
                </a:r>
              </a:p>
            </c:rich>
          </c:tx>
          <c:overlay val="0"/>
        </c:title>
        <c:majorTickMark val="out"/>
        <c:minorTickMark val="none"/>
        <c:tickLblPos val="nextTo"/>
        <c:crossAx val="112993024"/>
        <c:crosses val="autoZero"/>
        <c:auto val="1"/>
        <c:lblAlgn val="ctr"/>
        <c:lblOffset val="100"/>
        <c:noMultiLvlLbl val="0"/>
      </c:catAx>
      <c:valAx>
        <c:axId val="112993024"/>
        <c:scaling>
          <c:orientation val="minMax"/>
        </c:scaling>
        <c:delete val="0"/>
        <c:axPos val="l"/>
        <c:majorGridlines/>
        <c:title>
          <c:tx>
            <c:rich>
              <a:bodyPr rot="-5400000" vert="horz"/>
              <a:lstStyle/>
              <a:p>
                <a:pPr>
                  <a:defRPr/>
                </a:pPr>
                <a:r>
                  <a:rPr lang="en-US"/>
                  <a:t>Number of claims finalised</a:t>
                </a:r>
              </a:p>
            </c:rich>
          </c:tx>
          <c:overlay val="0"/>
        </c:title>
        <c:numFmt formatCode="General" sourceLinked="1"/>
        <c:majorTickMark val="out"/>
        <c:minorTickMark val="none"/>
        <c:tickLblPos val="nextTo"/>
        <c:crossAx val="112986752"/>
        <c:crosses val="autoZero"/>
        <c:crossBetween val="between"/>
        <c:majorUnit val="2"/>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Claims Finalised 1.3.16 - 31.8.16</a:t>
            </a:r>
          </a:p>
        </c:rich>
      </c:tx>
      <c:overlay val="0"/>
    </c:title>
    <c:autoTitleDeleted val="0"/>
    <c:plotArea>
      <c:layout/>
      <c:barChart>
        <c:barDir val="col"/>
        <c:grouping val="clustered"/>
        <c:varyColors val="0"/>
        <c:ser>
          <c:idx val="0"/>
          <c:order val="0"/>
          <c:tx>
            <c:strRef>
              <c:f>Sheet1!$B$32</c:f>
              <c:strCache>
                <c:ptCount val="1"/>
                <c:pt idx="0">
                  <c:v>Employer's Liability</c:v>
                </c:pt>
              </c:strCache>
            </c:strRef>
          </c:tx>
          <c:invertIfNegative val="0"/>
          <c:cat>
            <c:strRef>
              <c:f>Sheet1!$A$33:$A$36</c:f>
              <c:strCache>
                <c:ptCount val="4"/>
                <c:pt idx="0">
                  <c:v>Negotiated Settlement</c:v>
                </c:pt>
                <c:pt idx="1">
                  <c:v>Claimant Won Trial</c:v>
                </c:pt>
                <c:pt idx="2">
                  <c:v>Chief Won Trial</c:v>
                </c:pt>
                <c:pt idx="3">
                  <c:v>Claim Withdrawn</c:v>
                </c:pt>
              </c:strCache>
            </c:strRef>
          </c:cat>
          <c:val>
            <c:numRef>
              <c:f>Sheet1!$B$33:$B$36</c:f>
              <c:numCache>
                <c:formatCode>General</c:formatCode>
                <c:ptCount val="4"/>
                <c:pt idx="0">
                  <c:v>1</c:v>
                </c:pt>
                <c:pt idx="1">
                  <c:v>0</c:v>
                </c:pt>
                <c:pt idx="2">
                  <c:v>0</c:v>
                </c:pt>
                <c:pt idx="3">
                  <c:v>1</c:v>
                </c:pt>
              </c:numCache>
            </c:numRef>
          </c:val>
        </c:ser>
        <c:ser>
          <c:idx val="1"/>
          <c:order val="1"/>
          <c:tx>
            <c:strRef>
              <c:f>Sheet1!$C$32</c:f>
              <c:strCache>
                <c:ptCount val="1"/>
                <c:pt idx="0">
                  <c:v>Public Liability</c:v>
                </c:pt>
              </c:strCache>
            </c:strRef>
          </c:tx>
          <c:invertIfNegative val="0"/>
          <c:cat>
            <c:strRef>
              <c:f>Sheet1!$A$33:$A$36</c:f>
              <c:strCache>
                <c:ptCount val="4"/>
                <c:pt idx="0">
                  <c:v>Negotiated Settlement</c:v>
                </c:pt>
                <c:pt idx="1">
                  <c:v>Claimant Won Trial</c:v>
                </c:pt>
                <c:pt idx="2">
                  <c:v>Chief Won Trial</c:v>
                </c:pt>
                <c:pt idx="3">
                  <c:v>Claim Withdrawn</c:v>
                </c:pt>
              </c:strCache>
            </c:strRef>
          </c:cat>
          <c:val>
            <c:numRef>
              <c:f>Sheet1!$C$33:$C$36</c:f>
              <c:numCache>
                <c:formatCode>General</c:formatCode>
                <c:ptCount val="4"/>
                <c:pt idx="0">
                  <c:v>8</c:v>
                </c:pt>
                <c:pt idx="1">
                  <c:v>0</c:v>
                </c:pt>
                <c:pt idx="2">
                  <c:v>2</c:v>
                </c:pt>
                <c:pt idx="3">
                  <c:v>24</c:v>
                </c:pt>
              </c:numCache>
            </c:numRef>
          </c:val>
        </c:ser>
        <c:ser>
          <c:idx val="2"/>
          <c:order val="2"/>
          <c:tx>
            <c:strRef>
              <c:f>Sheet1!$D$32</c:f>
              <c:strCache>
                <c:ptCount val="1"/>
                <c:pt idx="0">
                  <c:v>Motor Liability</c:v>
                </c:pt>
              </c:strCache>
            </c:strRef>
          </c:tx>
          <c:invertIfNegative val="0"/>
          <c:cat>
            <c:strRef>
              <c:f>Sheet1!$A$33:$A$36</c:f>
              <c:strCache>
                <c:ptCount val="4"/>
                <c:pt idx="0">
                  <c:v>Negotiated Settlement</c:v>
                </c:pt>
                <c:pt idx="1">
                  <c:v>Claimant Won Trial</c:v>
                </c:pt>
                <c:pt idx="2">
                  <c:v>Chief Won Trial</c:v>
                </c:pt>
                <c:pt idx="3">
                  <c:v>Claim Withdrawn</c:v>
                </c:pt>
              </c:strCache>
            </c:strRef>
          </c:cat>
          <c:val>
            <c:numRef>
              <c:f>Sheet1!$D$33:$D$36</c:f>
              <c:numCache>
                <c:formatCode>General</c:formatCode>
                <c:ptCount val="4"/>
                <c:pt idx="0">
                  <c:v>20</c:v>
                </c:pt>
                <c:pt idx="1">
                  <c:v>0</c:v>
                </c:pt>
                <c:pt idx="2">
                  <c:v>0</c:v>
                </c:pt>
                <c:pt idx="3">
                  <c:v>16</c:v>
                </c:pt>
              </c:numCache>
            </c:numRef>
          </c:val>
        </c:ser>
        <c:dLbls>
          <c:showLegendKey val="0"/>
          <c:showVal val="0"/>
          <c:showCatName val="0"/>
          <c:showSerName val="0"/>
          <c:showPercent val="0"/>
          <c:showBubbleSize val="0"/>
        </c:dLbls>
        <c:gapWidth val="150"/>
        <c:axId val="113015424"/>
        <c:axId val="113025792"/>
      </c:barChart>
      <c:catAx>
        <c:axId val="113015424"/>
        <c:scaling>
          <c:orientation val="minMax"/>
        </c:scaling>
        <c:delete val="0"/>
        <c:axPos val="b"/>
        <c:title>
          <c:tx>
            <c:rich>
              <a:bodyPr/>
              <a:lstStyle/>
              <a:p>
                <a:pPr>
                  <a:defRPr/>
                </a:pPr>
                <a:r>
                  <a:rPr lang="en-US"/>
                  <a:t>Type of Closure</a:t>
                </a:r>
              </a:p>
            </c:rich>
          </c:tx>
          <c:overlay val="0"/>
        </c:title>
        <c:majorTickMark val="out"/>
        <c:minorTickMark val="none"/>
        <c:tickLblPos val="nextTo"/>
        <c:crossAx val="113025792"/>
        <c:crosses val="autoZero"/>
        <c:auto val="1"/>
        <c:lblAlgn val="ctr"/>
        <c:lblOffset val="100"/>
        <c:noMultiLvlLbl val="0"/>
      </c:catAx>
      <c:valAx>
        <c:axId val="113025792"/>
        <c:scaling>
          <c:orientation val="minMax"/>
        </c:scaling>
        <c:delete val="0"/>
        <c:axPos val="l"/>
        <c:majorGridlines/>
        <c:title>
          <c:tx>
            <c:rich>
              <a:bodyPr rot="-5400000" vert="horz"/>
              <a:lstStyle/>
              <a:p>
                <a:pPr>
                  <a:defRPr/>
                </a:pPr>
                <a:r>
                  <a:rPr lang="en-US"/>
                  <a:t>Number of claims finalised </a:t>
                </a:r>
              </a:p>
            </c:rich>
          </c:tx>
          <c:overlay val="0"/>
        </c:title>
        <c:numFmt formatCode="General" sourceLinked="1"/>
        <c:majorTickMark val="out"/>
        <c:minorTickMark val="none"/>
        <c:tickLblPos val="nextTo"/>
        <c:crossAx val="113015424"/>
        <c:crosses val="autoZero"/>
        <c:crossBetween val="between"/>
        <c:majorUnit val="2"/>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Sums Paid Out on Claims Finalised</a:t>
            </a:r>
          </a:p>
          <a:p>
            <a:pPr>
              <a:defRPr/>
            </a:pPr>
            <a:r>
              <a:rPr lang="en-US"/>
              <a:t>1.3.17-31.8.17 </a:t>
            </a:r>
          </a:p>
        </c:rich>
      </c:tx>
      <c:layout>
        <c:manualLayout>
          <c:xMode val="edge"/>
          <c:yMode val="edge"/>
          <c:x val="0.19736647376909211"/>
          <c:y val="4.7469657125993646E-3"/>
        </c:manualLayout>
      </c:layout>
      <c:overlay val="0"/>
    </c:title>
    <c:autoTitleDeleted val="0"/>
    <c:plotArea>
      <c:layout/>
      <c:pieChart>
        <c:varyColors val="1"/>
        <c:ser>
          <c:idx val="0"/>
          <c:order val="0"/>
          <c:dLbls>
            <c:numFmt formatCode="_(&quot;£&quot;* #,##0_);_(&quot;£&quot;* \(#,##0\);_(&quot;£&quot;* &quot;-&quot;_);_(@_)" sourceLinked="0"/>
            <c:dLblPos val="bestFit"/>
            <c:showLegendKey val="0"/>
            <c:showVal val="1"/>
            <c:showCatName val="0"/>
            <c:showSerName val="0"/>
            <c:showPercent val="0"/>
            <c:showBubbleSize val="0"/>
            <c:showLeaderLines val="1"/>
          </c:dLbls>
          <c:cat>
            <c:strRef>
              <c:f>Sheet1!$A$3:$C$3</c:f>
              <c:strCache>
                <c:ptCount val="3"/>
                <c:pt idx="0">
                  <c:v>Employer's Liability</c:v>
                </c:pt>
                <c:pt idx="1">
                  <c:v>Public Liability</c:v>
                </c:pt>
                <c:pt idx="2">
                  <c:v>Motor Liability</c:v>
                </c:pt>
              </c:strCache>
            </c:strRef>
          </c:cat>
          <c:val>
            <c:numRef>
              <c:f>Sheet1!$A$4:$C$4</c:f>
              <c:numCache>
                <c:formatCode>"£"#,##0_);[Red]\("£"#,##0\)</c:formatCode>
                <c:ptCount val="3"/>
                <c:pt idx="0">
                  <c:v>12611</c:v>
                </c:pt>
                <c:pt idx="1">
                  <c:v>312698</c:v>
                </c:pt>
                <c:pt idx="2">
                  <c:v>32549</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C3BAA-0564-47B2-941A-9B1D40C8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1306</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REEVE, Katherine (C6990)</dc:creator>
  <cp:lastModifiedBy>SMITH, Hannah (C8653)</cp:lastModifiedBy>
  <cp:revision>2</cp:revision>
  <cp:lastPrinted>2017-12-05T13:16:00Z</cp:lastPrinted>
  <dcterms:created xsi:type="dcterms:W3CDTF">2017-12-08T10:44:00Z</dcterms:created>
  <dcterms:modified xsi:type="dcterms:W3CDTF">2017-12-08T10:44:00Z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7605a606-8a8a-465a-a3ad-7ee421b1eeca</vt:lpwstr>
  </property>
  <property fmtid="{D5CDD505-2E9C-101B-9397-08002B2CF9AE}" pid="3" name="Classification">
    <vt:lpwstr>OFFICIAL</vt:lpwstr>
  </property>
</Properties>
</file>