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47" w:rsidRDefault="00B80B47" w:rsidP="00B80B47">
      <w:pPr>
        <w:spacing w:line="240" w:lineRule="auto"/>
      </w:pPr>
      <w:r w:rsidRPr="005E5B92">
        <w:rPr>
          <w:noProof/>
        </w:rPr>
        <w:drawing>
          <wp:inline distT="0" distB="0" distL="0" distR="0" wp14:anchorId="4C514CE8" wp14:editId="66003B18">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B80B47" w:rsidRDefault="00B80B47" w:rsidP="00B80B47">
      <w:r>
        <w:pict>
          <v:rect id="_x0000_i1025" style="width:0;height:1.5pt" o:hralign="center" o:hrstd="t" o:hr="t" fillcolor="#a0a0a0" stroked="f"/>
        </w:pict>
      </w:r>
    </w:p>
    <w:p w:rsidR="00B80B47" w:rsidRDefault="00B80B47" w:rsidP="00B80B47"/>
    <w:p w:rsidR="00B80B47" w:rsidRPr="00E414B8" w:rsidRDefault="00B80B47" w:rsidP="00B80B47">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B80B47" w:rsidRPr="00E414B8" w:rsidTr="00E00A80">
        <w:tc>
          <w:tcPr>
            <w:tcW w:w="2834"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OPCC Website Redevelopment</w:t>
            </w:r>
          </w:p>
        </w:tc>
      </w:tr>
      <w:tr w:rsidR="00B80B47" w:rsidRPr="00E414B8" w:rsidTr="00E00A80">
        <w:tc>
          <w:tcPr>
            <w:tcW w:w="2834"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t>11/09/2020</w:t>
            </w:r>
          </w:p>
        </w:tc>
      </w:tr>
      <w:tr w:rsidR="00B80B47" w:rsidRPr="00E414B8" w:rsidTr="00E00A80">
        <w:tc>
          <w:tcPr>
            <w:tcW w:w="2834"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1.0</w:t>
            </w:r>
          </w:p>
        </w:tc>
      </w:tr>
      <w:tr w:rsidR="00B80B47" w:rsidRPr="00E414B8" w:rsidTr="00E00A80">
        <w:tc>
          <w:tcPr>
            <w:tcW w:w="2834"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t>Hannah Smith</w:t>
            </w:r>
          </w:p>
        </w:tc>
      </w:tr>
      <w:tr w:rsidR="00B80B47" w:rsidRPr="00E414B8" w:rsidTr="00E00A80">
        <w:tc>
          <w:tcPr>
            <w:tcW w:w="2834"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B80B47" w:rsidRPr="00E414B8" w:rsidRDefault="00B80B47" w:rsidP="00E00A80">
            <w:pPr>
              <w:widowControl w:val="0"/>
              <w:spacing w:line="240" w:lineRule="auto"/>
            </w:pPr>
            <w:r w:rsidRPr="00E414B8">
              <w:t>Draft/Approved</w:t>
            </w:r>
          </w:p>
        </w:tc>
      </w:tr>
    </w:tbl>
    <w:p w:rsidR="00B80B47" w:rsidRPr="00E414B8" w:rsidRDefault="00B80B47" w:rsidP="00B80B47">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B80B47" w:rsidRPr="00E414B8" w:rsidTr="00E00A80">
        <w:trPr>
          <w:trHeight w:val="20"/>
        </w:trPr>
        <w:tc>
          <w:tcPr>
            <w:tcW w:w="1695" w:type="dxa"/>
            <w:shd w:val="clear" w:color="auto" w:fill="EFEFEF"/>
            <w:tcMar>
              <w:top w:w="100" w:type="dxa"/>
              <w:left w:w="100" w:type="dxa"/>
              <w:bottom w:w="100" w:type="dxa"/>
              <w:right w:w="100" w:type="dxa"/>
            </w:tcMar>
          </w:tcPr>
          <w:p w:rsidR="00B80B47" w:rsidRPr="00E414B8" w:rsidRDefault="00B80B47"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B80B47" w:rsidRPr="00E414B8" w:rsidRDefault="00B80B47" w:rsidP="00E00A80">
            <w:pPr>
              <w:spacing w:line="240" w:lineRule="auto"/>
            </w:pPr>
            <w:r w:rsidRPr="00E414B8">
              <w:t>https://clevelandpcc.co.uk/working-for-you/decisions/decision-notices/decision-</w:t>
            </w:r>
            <w:r>
              <w:t>4</w:t>
            </w:r>
            <w:r>
              <w:t>2</w:t>
            </w:r>
            <w:r>
              <w:t>-2016</w:t>
            </w:r>
          </w:p>
        </w:tc>
      </w:tr>
    </w:tbl>
    <w:p w:rsidR="00B80B47" w:rsidRPr="00E414B8" w:rsidRDefault="00B80B47" w:rsidP="00B80B47">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80B47" w:rsidRPr="00E414B8" w:rsidTr="00E00A80">
        <w:trPr>
          <w:trHeight w:val="85"/>
        </w:trPr>
        <w:tc>
          <w:tcPr>
            <w:tcW w:w="1695" w:type="dxa"/>
            <w:shd w:val="clear" w:color="auto" w:fill="EFEFEF"/>
            <w:tcMar>
              <w:top w:w="100" w:type="dxa"/>
              <w:left w:w="100" w:type="dxa"/>
              <w:bottom w:w="100" w:type="dxa"/>
              <w:right w:w="100" w:type="dxa"/>
            </w:tcMar>
          </w:tcPr>
          <w:p w:rsidR="00B80B47" w:rsidRPr="00E414B8" w:rsidRDefault="00B80B47" w:rsidP="00E00A80">
            <w:pPr>
              <w:spacing w:line="240" w:lineRule="auto"/>
            </w:pPr>
            <w:r w:rsidRPr="00E414B8">
              <w:t>Page title:</w:t>
            </w:r>
          </w:p>
        </w:tc>
        <w:tc>
          <w:tcPr>
            <w:tcW w:w="8010" w:type="dxa"/>
            <w:shd w:val="clear" w:color="auto" w:fill="auto"/>
            <w:tcMar>
              <w:top w:w="100" w:type="dxa"/>
              <w:left w:w="100" w:type="dxa"/>
              <w:bottom w:w="100" w:type="dxa"/>
              <w:right w:w="100" w:type="dxa"/>
            </w:tcMar>
          </w:tcPr>
          <w:p w:rsidR="00B80B47" w:rsidRPr="00B80B47" w:rsidRDefault="00B80B47" w:rsidP="00B80B47">
            <w:pPr>
              <w:jc w:val="both"/>
              <w:rPr>
                <w:rFonts w:ascii="Arial" w:hAnsi="Arial" w:cs="Arial"/>
                <w:bCs/>
                <w:sz w:val="6"/>
                <w:szCs w:val="6"/>
              </w:rPr>
            </w:pPr>
            <w:r>
              <w:t>Decision 4</w:t>
            </w:r>
            <w:r>
              <w:t>2</w:t>
            </w:r>
            <w:r>
              <w:t xml:space="preserve">-2016: </w:t>
            </w:r>
            <w:r w:rsidRPr="004E3BF9">
              <w:rPr>
                <w:rFonts w:ascii="Arial" w:hAnsi="Arial" w:cs="Arial"/>
                <w:bCs/>
              </w:rPr>
              <w:t>Sexual Violence</w:t>
            </w:r>
            <w:r>
              <w:rPr>
                <w:rFonts w:ascii="Arial" w:hAnsi="Arial" w:cs="Arial"/>
                <w:bCs/>
              </w:rPr>
              <w:t xml:space="preserve"> (SV)</w:t>
            </w:r>
            <w:r w:rsidRPr="004E3BF9">
              <w:rPr>
                <w:rFonts w:ascii="Arial" w:hAnsi="Arial" w:cs="Arial"/>
                <w:bCs/>
              </w:rPr>
              <w:t xml:space="preserve"> Co-ordinator – Project Lead </w:t>
            </w:r>
          </w:p>
        </w:tc>
      </w:tr>
    </w:tbl>
    <w:p w:rsidR="00B80B47" w:rsidRPr="00E414B8" w:rsidRDefault="00B80B47" w:rsidP="00B80B47">
      <w:pPr>
        <w:spacing w:before="200"/>
      </w:pPr>
      <w:r w:rsidRPr="00E414B8">
        <w:t>Guidelines: The page introduction should answer the questions “What is it?”</w:t>
      </w:r>
    </w:p>
    <w:p w:rsidR="00B80B47" w:rsidRPr="00E414B8" w:rsidRDefault="00B80B47" w:rsidP="00B80B47">
      <w:pPr>
        <w:widowControl w:val="0"/>
        <w:spacing w:before="100" w:line="276" w:lineRule="auto"/>
        <w:rPr>
          <w:rFonts w:ascii="Arial" w:eastAsia="Arial" w:hAnsi="Arial" w:cs="Arial"/>
          <w:i/>
        </w:rPr>
      </w:pPr>
    </w:p>
    <w:p w:rsidR="00B80B47" w:rsidRPr="00E414B8" w:rsidRDefault="00B80B47" w:rsidP="00B80B47">
      <w:pPr>
        <w:pStyle w:val="Heading2"/>
        <w:widowControl w:val="0"/>
        <w:spacing w:before="100" w:after="80" w:line="276" w:lineRule="auto"/>
      </w:pPr>
      <w:bookmarkStart w:id="1" w:name="_2uk8f39tv57e" w:colFirst="0" w:colLast="0"/>
      <w:bookmarkEnd w:id="1"/>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80B47" w:rsidTr="00E00A80">
        <w:tc>
          <w:tcPr>
            <w:tcW w:w="1695" w:type="dxa"/>
            <w:shd w:val="clear" w:color="auto" w:fill="EFEFEF"/>
            <w:tcMar>
              <w:top w:w="100" w:type="dxa"/>
              <w:left w:w="100" w:type="dxa"/>
              <w:bottom w:w="100" w:type="dxa"/>
              <w:right w:w="100" w:type="dxa"/>
            </w:tcMar>
          </w:tcPr>
          <w:p w:rsidR="00B80B47" w:rsidRPr="00E414B8" w:rsidRDefault="00B80B47"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B80B47" w:rsidRPr="00013DAD" w:rsidRDefault="00624778" w:rsidP="00E00A80">
            <w:pPr>
              <w:jc w:val="both"/>
              <w:rPr>
                <w:rFonts w:ascii="Arial" w:hAnsi="Arial" w:cs="Arial"/>
                <w:b/>
                <w:bCs/>
              </w:rPr>
            </w:pPr>
            <w:r>
              <w:rPr>
                <w:rFonts w:ascii="Arial" w:hAnsi="Arial" w:cs="Arial"/>
                <w:bCs/>
              </w:rPr>
              <w:t>The PCC is asked to approve</w:t>
            </w:r>
            <w:r w:rsidRPr="004E3BF9">
              <w:rPr>
                <w:rFonts w:ascii="Arial" w:hAnsi="Arial" w:cs="Arial"/>
                <w:bCs/>
              </w:rPr>
              <w:t xml:space="preserve"> a grant funding contribution towards the work to be undertaken by the </w:t>
            </w:r>
            <w:r>
              <w:rPr>
                <w:rFonts w:ascii="Arial" w:hAnsi="Arial" w:cs="Arial"/>
                <w:bCs/>
              </w:rPr>
              <w:t>Sexual Violence Project Manager at a cost of £13,144.</w:t>
            </w:r>
          </w:p>
        </w:tc>
      </w:tr>
    </w:tbl>
    <w:p w:rsidR="00B80B47" w:rsidRPr="00A0472D" w:rsidRDefault="00B80B47" w:rsidP="00B80B47">
      <w:pPr>
        <w:spacing w:before="200"/>
      </w:pPr>
      <w:r>
        <w:t>Guidelines: The page introduction should answer the questions “What is it?” “Who is it for?” and “What does it do?” The description must include at least one real, actual noun besides the name of the product/service.</w:t>
      </w:r>
    </w:p>
    <w:p w:rsidR="00B80B47" w:rsidRDefault="00B80B47" w:rsidP="00B80B47">
      <w:pPr>
        <w:widowControl w:val="0"/>
        <w:spacing w:line="276" w:lineRule="auto"/>
        <w:rPr>
          <w:rFonts w:ascii="Arial" w:eastAsia="Arial" w:hAnsi="Arial" w:cs="Arial"/>
        </w:rPr>
      </w:pPr>
    </w:p>
    <w:p w:rsidR="00B80B47" w:rsidRDefault="00B80B47" w:rsidP="00B80B47">
      <w:pPr>
        <w:pStyle w:val="Heading2"/>
        <w:widowControl w:val="0"/>
        <w:spacing w:after="80" w:line="276" w:lineRule="auto"/>
      </w:pPr>
      <w:bookmarkStart w:id="2" w:name="_646pzum2k2ko" w:colFirst="0" w:colLast="0"/>
      <w:bookmarkEnd w:id="2"/>
      <w:r>
        <w:t>Page content</w:t>
      </w:r>
    </w:p>
    <w:p w:rsidR="00B80B47" w:rsidRDefault="00B80B47" w:rsidP="00B80B47"/>
    <w:p w:rsidR="00B80B47" w:rsidRDefault="00B80B47" w:rsidP="00B80B47">
      <w:pPr>
        <w:widowControl w:val="0"/>
        <w:spacing w:before="100" w:line="276" w:lineRule="auto"/>
      </w:pPr>
      <w:r>
        <w:t xml:space="preserve">Provide the document link below. </w:t>
      </w:r>
    </w:p>
    <w:p w:rsidR="00B80B47" w:rsidRDefault="00B80B47" w:rsidP="00B80B47">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B80B47" w:rsidTr="00E00A80">
        <w:trPr>
          <w:trHeight w:val="378"/>
        </w:trPr>
        <w:tc>
          <w:tcPr>
            <w:tcW w:w="2565" w:type="dxa"/>
            <w:shd w:val="clear" w:color="auto" w:fill="EFEFEF"/>
            <w:tcMar>
              <w:top w:w="100" w:type="dxa"/>
              <w:left w:w="100" w:type="dxa"/>
              <w:bottom w:w="100" w:type="dxa"/>
              <w:right w:w="100" w:type="dxa"/>
            </w:tcMar>
          </w:tcPr>
          <w:p w:rsidR="00B80B47" w:rsidRDefault="00B80B47"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B80B47" w:rsidRDefault="00624778" w:rsidP="00E00A80">
            <w:pPr>
              <w:widowControl w:val="0"/>
              <w:spacing w:line="240" w:lineRule="auto"/>
              <w:rPr>
                <w:i/>
              </w:rPr>
            </w:pPr>
            <w:hyperlink r:id="rId6" w:history="1">
              <w:r>
                <w:rPr>
                  <w:rStyle w:val="Hyperlink"/>
                </w:rPr>
                <w:t>https://www.cleveland.pcc.police.uk/Document-Library/Decisions/Made-By-the-PCC/2016/Ref-42-SV-Co-ordinator-proejct-lead.pdf</w:t>
              </w:r>
            </w:hyperlink>
            <w:r>
              <w:t xml:space="preserve"> </w:t>
            </w:r>
            <w:bookmarkStart w:id="3" w:name="_GoBack"/>
            <w:bookmarkEnd w:id="3"/>
          </w:p>
        </w:tc>
      </w:tr>
    </w:tbl>
    <w:p w:rsidR="00B80B47" w:rsidRDefault="00B80B47" w:rsidP="00B80B47">
      <w:pPr>
        <w:widowControl w:val="0"/>
        <w:spacing w:before="100" w:line="276" w:lineRule="auto"/>
      </w:pPr>
    </w:p>
    <w:p w:rsidR="00B80B47" w:rsidRDefault="00B80B47" w:rsidP="00B80B47">
      <w:pPr>
        <w:widowControl w:val="0"/>
        <w:spacing w:before="100" w:line="276" w:lineRule="auto"/>
      </w:pPr>
      <w:r>
        <w:t xml:space="preserve">Alternatively, place the content in the box below following the instruction. </w:t>
      </w:r>
    </w:p>
    <w:p w:rsidR="00B80B47" w:rsidRDefault="00B80B47" w:rsidP="00B80B47">
      <w:pPr>
        <w:widowControl w:val="0"/>
        <w:spacing w:line="276" w:lineRule="auto"/>
        <w:rPr>
          <w:rFonts w:ascii="Arial" w:eastAsia="Arial" w:hAnsi="Arial" w:cs="Arial"/>
          <w:i/>
        </w:rPr>
      </w:pPr>
    </w:p>
    <w:p w:rsidR="00B80B47" w:rsidRDefault="00B80B47" w:rsidP="00B80B47">
      <w:r>
        <w:rPr>
          <w:b/>
        </w:rPr>
        <w:t>Guidelines</w:t>
      </w:r>
      <w:r>
        <w:t xml:space="preserve">: Indicate sub headers in bold and links by underlining. </w:t>
      </w:r>
    </w:p>
    <w:p w:rsidR="00B80B47" w:rsidRDefault="00B80B47" w:rsidP="00B80B47"/>
    <w:p w:rsidR="00B80B47" w:rsidRDefault="00B80B47" w:rsidP="00B80B47">
      <w:r>
        <w:t>The content itself must be unique (which makes it worthwhile for search engines to rank well) and covers a specific bit of information in a lot of depth. If a user had a question about “Data Protection”, this page would answer their query.</w:t>
      </w:r>
    </w:p>
    <w:p w:rsidR="00B80B47" w:rsidRDefault="00B80B47" w:rsidP="00B80B47"/>
    <w:p w:rsidR="00B80B47" w:rsidRDefault="00B80B47" w:rsidP="00B80B47">
      <w:r>
        <w:t>Default configuration allows for 1 single content page.</w:t>
      </w:r>
    </w:p>
    <w:p w:rsidR="00B80B47" w:rsidRDefault="00B80B47" w:rsidP="00B80B47">
      <w:r>
        <w:t>Your page should contain at least 300 words in order to rank well in the search engines.</w:t>
      </w:r>
    </w:p>
    <w:p w:rsidR="00B80B47" w:rsidRDefault="00B80B47" w:rsidP="00B80B47"/>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B80B47" w:rsidTr="00E00A80">
        <w:trPr>
          <w:trHeight w:val="3951"/>
        </w:trPr>
        <w:tc>
          <w:tcPr>
            <w:tcW w:w="9717" w:type="dxa"/>
            <w:shd w:val="clear" w:color="auto" w:fill="auto"/>
            <w:tcMar>
              <w:top w:w="100" w:type="dxa"/>
              <w:left w:w="100" w:type="dxa"/>
              <w:bottom w:w="100" w:type="dxa"/>
              <w:right w:w="100" w:type="dxa"/>
            </w:tcMar>
          </w:tcPr>
          <w:p w:rsidR="00B80B47" w:rsidRDefault="00B80B47" w:rsidP="00E00A80">
            <w:pPr>
              <w:pStyle w:val="Heading2"/>
              <w:widowControl w:val="0"/>
              <w:spacing w:line="240" w:lineRule="auto"/>
              <w:rPr>
                <w:sz w:val="32"/>
              </w:rPr>
            </w:pPr>
            <w:bookmarkStart w:id="4" w:name="_2m18eydufmlz" w:colFirst="0" w:colLast="0"/>
            <w:bookmarkEnd w:id="4"/>
            <w:r w:rsidRPr="00BD397E">
              <w:rPr>
                <w:sz w:val="32"/>
              </w:rPr>
              <w:lastRenderedPageBreak/>
              <w:t>Executive Summary</w:t>
            </w:r>
            <w:r>
              <w:rPr>
                <w:sz w:val="32"/>
              </w:rPr>
              <w:t>:</w:t>
            </w:r>
          </w:p>
          <w:p w:rsidR="00B80B47" w:rsidRPr="00A66775" w:rsidRDefault="00B80B47" w:rsidP="00E00A80"/>
          <w:p w:rsidR="00624778" w:rsidRPr="00480450" w:rsidRDefault="00624778" w:rsidP="00624778">
            <w:pPr>
              <w:jc w:val="both"/>
              <w:rPr>
                <w:rFonts w:ascii="Arial" w:hAnsi="Arial" w:cs="Arial"/>
                <w:bCs/>
              </w:rPr>
            </w:pPr>
            <w:r w:rsidRPr="00480450">
              <w:rPr>
                <w:rFonts w:ascii="Arial" w:hAnsi="Arial" w:cs="Arial"/>
                <w:bCs/>
              </w:rPr>
              <w:t xml:space="preserve">The Tees SV Coordinator has over the past 12 months prepared a Tees Sexual Violence Needs Analysis (SVNA), developed a Tees SV Business Plan to address the 8 recommendations contained within the SVNA, acted as the lead officer supporting the chair of the Tees SV Commissioners Forum and the Tees SV Implementation Group and has carried out a review of the Tees Independent Sexual Violence Advisers (ISVAs). </w:t>
            </w:r>
          </w:p>
          <w:p w:rsidR="00624778" w:rsidRPr="00480450" w:rsidRDefault="00624778" w:rsidP="00624778">
            <w:pPr>
              <w:jc w:val="both"/>
              <w:rPr>
                <w:rFonts w:ascii="Arial" w:hAnsi="Arial" w:cs="Arial"/>
                <w:bCs/>
              </w:rPr>
            </w:pPr>
          </w:p>
          <w:p w:rsidR="00624778" w:rsidRDefault="00624778" w:rsidP="00624778">
            <w:pPr>
              <w:jc w:val="both"/>
              <w:rPr>
                <w:rFonts w:ascii="Arial" w:hAnsi="Arial" w:cs="Arial"/>
                <w:bCs/>
              </w:rPr>
            </w:pPr>
            <w:r w:rsidRPr="00480450">
              <w:rPr>
                <w:rFonts w:ascii="Arial" w:hAnsi="Arial" w:cs="Arial"/>
                <w:bCs/>
              </w:rPr>
              <w:t>As a result of this work there is now a much greater understanding of the prevalence of sexual violence in Teesside, the services that are currently in place to support victims of sexual violence, the funding arrangements for</w:t>
            </w:r>
            <w:r>
              <w:rPr>
                <w:rFonts w:ascii="Arial" w:hAnsi="Arial" w:cs="Arial"/>
                <w:bCs/>
              </w:rPr>
              <w:t xml:space="preserve"> those services and the needs fo</w:t>
            </w:r>
            <w:r w:rsidRPr="00480450">
              <w:rPr>
                <w:rFonts w:ascii="Arial" w:hAnsi="Arial" w:cs="Arial"/>
                <w:bCs/>
              </w:rPr>
              <w:t xml:space="preserve">r future services.   This relates to the victimisation of both adults and young people under the age of 18 years. </w:t>
            </w:r>
          </w:p>
          <w:p w:rsidR="00624778" w:rsidRPr="00480450" w:rsidRDefault="00624778" w:rsidP="00624778">
            <w:pPr>
              <w:jc w:val="both"/>
              <w:rPr>
                <w:rFonts w:ascii="Arial" w:hAnsi="Arial" w:cs="Arial"/>
                <w:bCs/>
              </w:rPr>
            </w:pPr>
          </w:p>
          <w:p w:rsidR="00624778" w:rsidRPr="00480450" w:rsidRDefault="00624778" w:rsidP="00624778">
            <w:pPr>
              <w:jc w:val="both"/>
              <w:rPr>
                <w:rFonts w:ascii="Arial" w:hAnsi="Arial" w:cs="Arial"/>
                <w:bCs/>
              </w:rPr>
            </w:pPr>
            <w:r w:rsidRPr="00480450">
              <w:rPr>
                <w:rFonts w:ascii="Arial" w:hAnsi="Arial" w:cs="Arial"/>
                <w:bCs/>
              </w:rPr>
              <w:t>The</w:t>
            </w:r>
            <w:r>
              <w:rPr>
                <w:rFonts w:ascii="Arial" w:hAnsi="Arial" w:cs="Arial"/>
                <w:bCs/>
              </w:rPr>
              <w:t xml:space="preserve"> existence of a co-ordinated partnership </w:t>
            </w:r>
            <w:r w:rsidRPr="00480450">
              <w:rPr>
                <w:rFonts w:ascii="Arial" w:hAnsi="Arial" w:cs="Arial"/>
                <w:bCs/>
              </w:rPr>
              <w:t>structure has created the opportunity for representatives from NHS England, the Office of the Police and Crime Commissioner, the North and South Tees Clinical Commissioning Groups, the four Teesside Local Authorities and Cleveland Police to work in collaboration to address the inconsistencies in SV service that exist across the area.</w:t>
            </w:r>
          </w:p>
          <w:p w:rsidR="00624778" w:rsidRPr="002360F6" w:rsidRDefault="00624778" w:rsidP="00624778">
            <w:pPr>
              <w:jc w:val="both"/>
              <w:rPr>
                <w:rFonts w:ascii="Arial" w:hAnsi="Arial" w:cs="Arial"/>
                <w:b/>
                <w:bCs/>
              </w:rPr>
            </w:pPr>
          </w:p>
          <w:p w:rsidR="00624778" w:rsidRPr="00480450" w:rsidRDefault="00624778" w:rsidP="00624778">
            <w:pPr>
              <w:jc w:val="both"/>
              <w:rPr>
                <w:rFonts w:ascii="Arial" w:hAnsi="Arial" w:cs="Arial"/>
                <w:bCs/>
              </w:rPr>
            </w:pPr>
            <w:r>
              <w:rPr>
                <w:rFonts w:ascii="Arial" w:hAnsi="Arial" w:cs="Arial"/>
                <w:bCs/>
              </w:rPr>
              <w:t>NHS England has</w:t>
            </w:r>
            <w:r w:rsidRPr="00480450">
              <w:rPr>
                <w:rFonts w:ascii="Arial" w:hAnsi="Arial" w:cs="Arial"/>
                <w:bCs/>
              </w:rPr>
              <w:t xml:space="preserve"> recently prepared a draft Project Initiation Document (PID) that outlines a vision for an Integrated Sexual Violence Service across Teesside.   This will cover the Sexual Assault Referral Centre (SARC), Crisis work and Sexual Assault Examinations carried out at the SARC / Royal Victoria Infirmary (RVI), the ISVA service and sexual violence counselling services.</w:t>
            </w:r>
          </w:p>
          <w:p w:rsidR="00624778" w:rsidRPr="00480450" w:rsidRDefault="00624778" w:rsidP="00624778">
            <w:pPr>
              <w:jc w:val="both"/>
              <w:rPr>
                <w:rFonts w:ascii="Arial" w:hAnsi="Arial" w:cs="Arial"/>
                <w:bCs/>
              </w:rPr>
            </w:pPr>
          </w:p>
          <w:p w:rsidR="00624778" w:rsidRPr="00480450" w:rsidRDefault="00624778" w:rsidP="00624778">
            <w:pPr>
              <w:jc w:val="both"/>
              <w:rPr>
                <w:rFonts w:ascii="Arial" w:hAnsi="Arial" w:cs="Arial"/>
                <w:bCs/>
              </w:rPr>
            </w:pPr>
            <w:r w:rsidRPr="00480450">
              <w:rPr>
                <w:rFonts w:ascii="Arial" w:hAnsi="Arial" w:cs="Arial"/>
                <w:bCs/>
              </w:rPr>
              <w:t>The foundations are now in place for an effective collaborative approach to be taken to address sexual violence in a consistent way across Teesside.</w:t>
            </w:r>
          </w:p>
          <w:p w:rsidR="00624778" w:rsidRPr="00480450" w:rsidRDefault="00624778" w:rsidP="00624778">
            <w:pPr>
              <w:jc w:val="both"/>
              <w:rPr>
                <w:rFonts w:ascii="Arial" w:hAnsi="Arial" w:cs="Arial"/>
                <w:bCs/>
              </w:rPr>
            </w:pPr>
          </w:p>
          <w:p w:rsidR="00624778" w:rsidRPr="00480450" w:rsidRDefault="00624778" w:rsidP="00624778">
            <w:pPr>
              <w:jc w:val="both"/>
              <w:rPr>
                <w:rFonts w:ascii="Arial" w:hAnsi="Arial" w:cs="Arial"/>
                <w:bCs/>
              </w:rPr>
            </w:pPr>
            <w:r w:rsidRPr="00480450">
              <w:rPr>
                <w:rFonts w:ascii="Arial" w:hAnsi="Arial" w:cs="Arial"/>
                <w:bCs/>
              </w:rPr>
              <w:t xml:space="preserve">During the next financial year there will be a need to present the proposed approach to the various strategic planning groups i.e. </w:t>
            </w:r>
          </w:p>
          <w:p w:rsidR="00624778" w:rsidRPr="00480450" w:rsidRDefault="00624778" w:rsidP="00624778">
            <w:pPr>
              <w:jc w:val="both"/>
              <w:rPr>
                <w:rFonts w:ascii="Arial" w:hAnsi="Arial" w:cs="Arial"/>
                <w:bCs/>
              </w:rPr>
            </w:pPr>
          </w:p>
          <w:p w:rsidR="00624778" w:rsidRPr="00480450" w:rsidRDefault="00624778" w:rsidP="00624778">
            <w:pPr>
              <w:jc w:val="both"/>
              <w:rPr>
                <w:rFonts w:ascii="Arial" w:hAnsi="Arial" w:cs="Arial"/>
                <w:bCs/>
              </w:rPr>
            </w:pPr>
            <w:r w:rsidRPr="00480450">
              <w:rPr>
                <w:rFonts w:ascii="Arial" w:hAnsi="Arial" w:cs="Arial"/>
                <w:bCs/>
              </w:rPr>
              <w:t>•</w:t>
            </w:r>
            <w:r w:rsidRPr="00480450">
              <w:rPr>
                <w:rFonts w:ascii="Arial" w:hAnsi="Arial" w:cs="Arial"/>
                <w:bCs/>
              </w:rPr>
              <w:tab/>
              <w:t xml:space="preserve">the Tees Directors of Public Health, </w:t>
            </w:r>
          </w:p>
          <w:p w:rsidR="00624778" w:rsidRPr="00480450" w:rsidRDefault="00624778" w:rsidP="00624778">
            <w:pPr>
              <w:jc w:val="both"/>
              <w:rPr>
                <w:rFonts w:ascii="Arial" w:hAnsi="Arial" w:cs="Arial"/>
                <w:bCs/>
              </w:rPr>
            </w:pPr>
            <w:r w:rsidRPr="00480450">
              <w:rPr>
                <w:rFonts w:ascii="Arial" w:hAnsi="Arial" w:cs="Arial"/>
                <w:bCs/>
              </w:rPr>
              <w:t>•</w:t>
            </w:r>
            <w:r w:rsidRPr="00480450">
              <w:rPr>
                <w:rFonts w:ascii="Arial" w:hAnsi="Arial" w:cs="Arial"/>
                <w:bCs/>
              </w:rPr>
              <w:tab/>
              <w:t xml:space="preserve">the Strategic Vulnerable, Exploited, Missing and Trafficked (VEMT) Group, </w:t>
            </w:r>
          </w:p>
          <w:p w:rsidR="00624778" w:rsidRPr="00480450" w:rsidRDefault="00624778" w:rsidP="00624778">
            <w:pPr>
              <w:jc w:val="both"/>
              <w:rPr>
                <w:rFonts w:ascii="Arial" w:hAnsi="Arial" w:cs="Arial"/>
                <w:bCs/>
              </w:rPr>
            </w:pPr>
            <w:r w:rsidRPr="00480450">
              <w:rPr>
                <w:rFonts w:ascii="Arial" w:hAnsi="Arial" w:cs="Arial"/>
                <w:bCs/>
              </w:rPr>
              <w:t>•</w:t>
            </w:r>
            <w:r w:rsidRPr="00480450">
              <w:rPr>
                <w:rFonts w:ascii="Arial" w:hAnsi="Arial" w:cs="Arial"/>
                <w:bCs/>
              </w:rPr>
              <w:tab/>
              <w:t xml:space="preserve">the Local Authority Health and Wellbeing Boards, </w:t>
            </w:r>
          </w:p>
          <w:p w:rsidR="00624778" w:rsidRPr="00480450" w:rsidRDefault="00624778" w:rsidP="00624778">
            <w:pPr>
              <w:jc w:val="both"/>
              <w:rPr>
                <w:rFonts w:ascii="Arial" w:hAnsi="Arial" w:cs="Arial"/>
                <w:bCs/>
              </w:rPr>
            </w:pPr>
            <w:r w:rsidRPr="00480450">
              <w:rPr>
                <w:rFonts w:ascii="Arial" w:hAnsi="Arial" w:cs="Arial"/>
                <w:bCs/>
              </w:rPr>
              <w:t>•</w:t>
            </w:r>
            <w:r w:rsidRPr="00480450">
              <w:rPr>
                <w:rFonts w:ascii="Arial" w:hAnsi="Arial" w:cs="Arial"/>
                <w:bCs/>
              </w:rPr>
              <w:tab/>
              <w:t xml:space="preserve">Community Safety Partnerships and </w:t>
            </w:r>
          </w:p>
          <w:p w:rsidR="00624778" w:rsidRDefault="00624778" w:rsidP="00624778">
            <w:pPr>
              <w:jc w:val="both"/>
              <w:rPr>
                <w:rFonts w:ascii="Arial" w:hAnsi="Arial" w:cs="Arial"/>
                <w:bCs/>
              </w:rPr>
            </w:pPr>
            <w:r w:rsidRPr="00480450">
              <w:rPr>
                <w:rFonts w:ascii="Arial" w:hAnsi="Arial" w:cs="Arial"/>
                <w:bCs/>
              </w:rPr>
              <w:t>•</w:t>
            </w:r>
            <w:r w:rsidRPr="00480450">
              <w:rPr>
                <w:rFonts w:ascii="Arial" w:hAnsi="Arial" w:cs="Arial"/>
                <w:bCs/>
              </w:rPr>
              <w:tab/>
              <w:t>Adult and Children’s Safeguarding Boards.</w:t>
            </w:r>
          </w:p>
          <w:p w:rsidR="00624778" w:rsidRPr="00480450" w:rsidRDefault="00624778" w:rsidP="00624778">
            <w:pPr>
              <w:jc w:val="both"/>
              <w:rPr>
                <w:rFonts w:ascii="Arial" w:hAnsi="Arial" w:cs="Arial"/>
                <w:bCs/>
              </w:rPr>
            </w:pPr>
          </w:p>
          <w:p w:rsidR="00624778" w:rsidRPr="00480450" w:rsidRDefault="00624778" w:rsidP="00624778">
            <w:pPr>
              <w:jc w:val="both"/>
              <w:rPr>
                <w:rFonts w:ascii="Arial" w:hAnsi="Arial" w:cs="Arial"/>
                <w:bCs/>
              </w:rPr>
            </w:pPr>
            <w:r w:rsidRPr="00480450">
              <w:rPr>
                <w:rFonts w:ascii="Arial" w:hAnsi="Arial" w:cs="Arial"/>
                <w:bCs/>
              </w:rPr>
              <w:t xml:space="preserve">It is proposed that the Tees SV Coordinator act as the Project Manager to manage the delivery of the workstreams outlined within the Project Initiation Document to move towards the commissioning of a Tees Integrated Sexual Assault Service.   This will assist in the preparation of service specifications for the SARC and the ISVA Service and an agreed pathway for Sexual </w:t>
            </w:r>
            <w:r w:rsidRPr="00480450">
              <w:rPr>
                <w:rFonts w:ascii="Arial" w:hAnsi="Arial" w:cs="Arial"/>
                <w:bCs/>
              </w:rPr>
              <w:lastRenderedPageBreak/>
              <w:t>Violence Counselling services for both adults and young people under the age of 18 years.    These services could potentially be varied, renegotiated or recommissioned during 2017/18.</w:t>
            </w:r>
          </w:p>
          <w:p w:rsidR="00624778" w:rsidRPr="00480450" w:rsidRDefault="00624778" w:rsidP="00624778">
            <w:pPr>
              <w:jc w:val="both"/>
              <w:rPr>
                <w:rFonts w:ascii="Arial" w:hAnsi="Arial" w:cs="Arial"/>
                <w:bCs/>
              </w:rPr>
            </w:pPr>
          </w:p>
          <w:p w:rsidR="00624778" w:rsidRPr="00480450" w:rsidRDefault="00624778" w:rsidP="00624778">
            <w:pPr>
              <w:jc w:val="both"/>
              <w:rPr>
                <w:rFonts w:ascii="Arial" w:hAnsi="Arial" w:cs="Arial"/>
                <w:bCs/>
              </w:rPr>
            </w:pPr>
            <w:r w:rsidRPr="00480450">
              <w:rPr>
                <w:rFonts w:ascii="Arial" w:hAnsi="Arial" w:cs="Arial"/>
                <w:bCs/>
              </w:rPr>
              <w:t>It is therefore proposed that the Tees SV Coordinator post be continued for a further 12 months but be adjusted to operate as the Project Manager for the development of the future Tees Integrated Sexual Violence Service.</w:t>
            </w:r>
          </w:p>
          <w:p w:rsidR="00624778" w:rsidRPr="00480450" w:rsidRDefault="00624778" w:rsidP="00624778">
            <w:pPr>
              <w:jc w:val="both"/>
              <w:rPr>
                <w:rFonts w:ascii="Arial" w:hAnsi="Arial" w:cs="Arial"/>
                <w:bCs/>
              </w:rPr>
            </w:pPr>
          </w:p>
          <w:p w:rsidR="00624778" w:rsidRDefault="00624778" w:rsidP="00624778">
            <w:pPr>
              <w:jc w:val="both"/>
              <w:rPr>
                <w:rFonts w:ascii="Arial" w:hAnsi="Arial" w:cs="Arial"/>
                <w:bCs/>
              </w:rPr>
            </w:pPr>
            <w:r w:rsidRPr="00480450">
              <w:rPr>
                <w:rFonts w:ascii="Arial" w:hAnsi="Arial" w:cs="Arial"/>
                <w:bCs/>
              </w:rPr>
              <w:t>During 2015/16 the four Teesside based Directors of Public Health each made a financial contribution of £3,613 towards the cost of the Tees Sexual Violence (SV) Service Coordinator post.   This was matched to the sum of £17,750 received through the Northern Rock Foundation.</w:t>
            </w:r>
          </w:p>
          <w:p w:rsidR="00B80B47" w:rsidRPr="00D32701" w:rsidRDefault="00B80B47" w:rsidP="00E00A80">
            <w:pPr>
              <w:jc w:val="both"/>
              <w:rPr>
                <w:rFonts w:ascii="Arial" w:hAnsi="Arial" w:cs="Arial"/>
                <w:bCs/>
              </w:rPr>
            </w:pPr>
          </w:p>
          <w:p w:rsidR="00B80B47" w:rsidRPr="00174F5C" w:rsidRDefault="00624778" w:rsidP="00E00A80">
            <w:pPr>
              <w:spacing w:line="240" w:lineRule="auto"/>
              <w:rPr>
                <w:bCs/>
                <w:u w:val="single"/>
              </w:rPr>
            </w:pPr>
            <w:r w:rsidRPr="00624778">
              <w:rPr>
                <w:u w:val="single"/>
              </w:rPr>
              <w:t xml:space="preserve">Decision 42-2016: </w:t>
            </w:r>
            <w:r w:rsidRPr="00624778">
              <w:rPr>
                <w:bCs/>
                <w:u w:val="single"/>
              </w:rPr>
              <w:t>Sexual Violence (SV) Co-ordinator – Project Lead</w:t>
            </w:r>
          </w:p>
        </w:tc>
      </w:tr>
    </w:tbl>
    <w:p w:rsidR="00B80B47" w:rsidRDefault="00B80B47" w:rsidP="00B80B47"/>
    <w:p w:rsidR="00B80B47" w:rsidRDefault="00B80B47" w:rsidP="00B80B47">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B80B47" w:rsidTr="00E00A80">
        <w:tc>
          <w:tcPr>
            <w:tcW w:w="1830" w:type="dxa"/>
            <w:shd w:val="clear" w:color="auto" w:fill="EFEFEF"/>
            <w:tcMar>
              <w:top w:w="100" w:type="dxa"/>
              <w:left w:w="100" w:type="dxa"/>
              <w:bottom w:w="100" w:type="dxa"/>
              <w:right w:w="100" w:type="dxa"/>
            </w:tcMar>
          </w:tcPr>
          <w:p w:rsidR="00B80B47" w:rsidRDefault="00B80B47"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B80B47" w:rsidRPr="00BD397E" w:rsidRDefault="00B80B47" w:rsidP="00E00A80">
            <w:pPr>
              <w:widowControl w:val="0"/>
              <w:spacing w:line="240" w:lineRule="auto"/>
            </w:pPr>
            <w:r>
              <w:t xml:space="preserve">Decision   Topic: Governance </w:t>
            </w:r>
          </w:p>
        </w:tc>
      </w:tr>
    </w:tbl>
    <w:p w:rsidR="00B80B47" w:rsidRDefault="00B80B47" w:rsidP="00B80B47">
      <w:pPr>
        <w:widowControl w:val="0"/>
        <w:spacing w:before="100" w:line="276" w:lineRule="auto"/>
        <w:rPr>
          <w:i/>
        </w:rPr>
      </w:pPr>
      <w:r>
        <w:rPr>
          <w:i/>
        </w:rPr>
        <w:t>Guidelines: The type of the document e.g. guidelines, presentation etc</w:t>
      </w:r>
    </w:p>
    <w:p w:rsidR="00B80B47" w:rsidRDefault="00B80B47" w:rsidP="00B80B47">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B80B47" w:rsidTr="00E00A80">
        <w:tc>
          <w:tcPr>
            <w:tcW w:w="1830" w:type="dxa"/>
            <w:shd w:val="clear" w:color="auto" w:fill="EFEFEF"/>
            <w:tcMar>
              <w:top w:w="100" w:type="dxa"/>
              <w:left w:w="100" w:type="dxa"/>
              <w:bottom w:w="100" w:type="dxa"/>
              <w:right w:w="100" w:type="dxa"/>
            </w:tcMar>
          </w:tcPr>
          <w:p w:rsidR="00B80B47" w:rsidRDefault="00B80B47" w:rsidP="00E00A80">
            <w:pPr>
              <w:widowControl w:val="0"/>
              <w:spacing w:line="240" w:lineRule="auto"/>
            </w:pPr>
            <w:r>
              <w:t>Visibility:</w:t>
            </w:r>
          </w:p>
        </w:tc>
        <w:tc>
          <w:tcPr>
            <w:tcW w:w="7875" w:type="dxa"/>
            <w:shd w:val="clear" w:color="auto" w:fill="auto"/>
            <w:tcMar>
              <w:top w:w="100" w:type="dxa"/>
              <w:left w:w="100" w:type="dxa"/>
              <w:bottom w:w="100" w:type="dxa"/>
              <w:right w:w="100" w:type="dxa"/>
            </w:tcMar>
          </w:tcPr>
          <w:p w:rsidR="00B80B47" w:rsidRDefault="00B80B47" w:rsidP="00E00A80">
            <w:pPr>
              <w:widowControl w:val="0"/>
              <w:spacing w:line="240" w:lineRule="auto"/>
              <w:rPr>
                <w:i/>
              </w:rPr>
            </w:pPr>
            <w:r>
              <w:rPr>
                <w:i/>
              </w:rPr>
              <w:t>All</w:t>
            </w:r>
          </w:p>
        </w:tc>
      </w:tr>
    </w:tbl>
    <w:p w:rsidR="00B80B47" w:rsidRDefault="00B80B47" w:rsidP="00B80B47">
      <w:pPr>
        <w:widowControl w:val="0"/>
        <w:spacing w:before="100" w:line="276" w:lineRule="auto"/>
        <w:rPr>
          <w:rFonts w:ascii="Arial" w:eastAsia="Arial" w:hAnsi="Arial" w:cs="Arial"/>
          <w:i/>
        </w:rPr>
      </w:pPr>
      <w:r>
        <w:rPr>
          <w:i/>
        </w:rPr>
        <w:t>Guidelines: Who is allowed to view this document e.g. staff or public</w:t>
      </w:r>
    </w:p>
    <w:p w:rsidR="00B80B47" w:rsidRDefault="00B80B47" w:rsidP="00B80B47">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80B47" w:rsidTr="00E00A80">
        <w:tc>
          <w:tcPr>
            <w:tcW w:w="1695" w:type="dxa"/>
            <w:shd w:val="clear" w:color="auto" w:fill="EFEFEF"/>
            <w:tcMar>
              <w:top w:w="100" w:type="dxa"/>
              <w:left w:w="100" w:type="dxa"/>
              <w:bottom w:w="100" w:type="dxa"/>
              <w:right w:w="100" w:type="dxa"/>
            </w:tcMar>
          </w:tcPr>
          <w:p w:rsidR="00B80B47" w:rsidRDefault="00B80B47" w:rsidP="00E00A80">
            <w:pPr>
              <w:spacing w:line="240" w:lineRule="auto"/>
            </w:pPr>
            <w:r>
              <w:t>Related resource(s):</w:t>
            </w:r>
          </w:p>
        </w:tc>
        <w:tc>
          <w:tcPr>
            <w:tcW w:w="8010" w:type="dxa"/>
            <w:shd w:val="clear" w:color="auto" w:fill="auto"/>
            <w:tcMar>
              <w:top w:w="100" w:type="dxa"/>
              <w:left w:w="100" w:type="dxa"/>
              <w:bottom w:w="100" w:type="dxa"/>
              <w:right w:w="100" w:type="dxa"/>
            </w:tcMar>
          </w:tcPr>
          <w:p w:rsidR="00B80B47" w:rsidRDefault="00B80B47" w:rsidP="00E00A80">
            <w:pPr>
              <w:spacing w:line="240" w:lineRule="auto"/>
              <w:rPr>
                <w:highlight w:val="yellow"/>
              </w:rPr>
            </w:pPr>
            <w:r w:rsidRPr="00BD397E">
              <w:t>Other DRFs</w:t>
            </w:r>
          </w:p>
        </w:tc>
      </w:tr>
    </w:tbl>
    <w:p w:rsidR="00B80B47" w:rsidRDefault="00B80B47" w:rsidP="00B80B47">
      <w:pPr>
        <w:spacing w:before="200"/>
        <w:rPr>
          <w:i/>
        </w:rPr>
      </w:pPr>
      <w:r>
        <w:rPr>
          <w:i/>
        </w:rPr>
        <w:t>Guidelines: Which documents, leaflets etc (contained within the resource library) are relevant?</w:t>
      </w:r>
    </w:p>
    <w:p w:rsidR="00B80B47" w:rsidRDefault="00B80B47" w:rsidP="00B80B47">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80B47" w:rsidTr="00E00A80">
        <w:tc>
          <w:tcPr>
            <w:tcW w:w="1695" w:type="dxa"/>
            <w:shd w:val="clear" w:color="auto" w:fill="EFEFEF"/>
            <w:tcMar>
              <w:top w:w="100" w:type="dxa"/>
              <w:left w:w="100" w:type="dxa"/>
              <w:bottom w:w="100" w:type="dxa"/>
              <w:right w:w="100" w:type="dxa"/>
            </w:tcMar>
          </w:tcPr>
          <w:p w:rsidR="00B80B47" w:rsidRDefault="00B80B47" w:rsidP="00E00A80">
            <w:pPr>
              <w:spacing w:line="240" w:lineRule="auto"/>
            </w:pPr>
            <w:r>
              <w:t>SEO title:</w:t>
            </w:r>
          </w:p>
        </w:tc>
        <w:tc>
          <w:tcPr>
            <w:tcW w:w="8010" w:type="dxa"/>
            <w:shd w:val="clear" w:color="auto" w:fill="auto"/>
            <w:tcMar>
              <w:top w:w="100" w:type="dxa"/>
              <w:left w:w="100" w:type="dxa"/>
              <w:bottom w:w="100" w:type="dxa"/>
              <w:right w:w="100" w:type="dxa"/>
            </w:tcMar>
          </w:tcPr>
          <w:p w:rsidR="00B80B47" w:rsidRDefault="00624778" w:rsidP="00E00A80">
            <w:pPr>
              <w:spacing w:line="240" w:lineRule="auto"/>
              <w:rPr>
                <w:color w:val="999999"/>
              </w:rPr>
            </w:pPr>
            <w:r>
              <w:t xml:space="preserve">Decision 42-2016: </w:t>
            </w:r>
            <w:r w:rsidRPr="004E3BF9">
              <w:rPr>
                <w:rFonts w:ascii="Arial" w:hAnsi="Arial" w:cs="Arial"/>
                <w:bCs/>
              </w:rPr>
              <w:t>Sexual Violence</w:t>
            </w:r>
            <w:r>
              <w:rPr>
                <w:rFonts w:ascii="Arial" w:hAnsi="Arial" w:cs="Arial"/>
                <w:bCs/>
              </w:rPr>
              <w:t xml:space="preserve"> (SV)</w:t>
            </w:r>
            <w:r w:rsidRPr="004E3BF9">
              <w:rPr>
                <w:rFonts w:ascii="Arial" w:hAnsi="Arial" w:cs="Arial"/>
                <w:bCs/>
              </w:rPr>
              <w:t xml:space="preserve"> Co-ordinator – Project Lead </w:t>
            </w:r>
            <w:r w:rsidR="00B80B47">
              <w:rPr>
                <w:color w:val="999999"/>
              </w:rPr>
              <w:t>| Name of organisation</w:t>
            </w:r>
          </w:p>
        </w:tc>
      </w:tr>
    </w:tbl>
    <w:p w:rsidR="00B80B47" w:rsidRDefault="00B80B47" w:rsidP="00B80B47">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B80B47" w:rsidRDefault="00B80B47" w:rsidP="00B80B47">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80B47" w:rsidTr="00E00A80">
        <w:trPr>
          <w:trHeight w:val="694"/>
        </w:trPr>
        <w:tc>
          <w:tcPr>
            <w:tcW w:w="1695" w:type="dxa"/>
            <w:shd w:val="clear" w:color="auto" w:fill="EFEFEF"/>
            <w:tcMar>
              <w:top w:w="100" w:type="dxa"/>
              <w:left w:w="100" w:type="dxa"/>
              <w:bottom w:w="100" w:type="dxa"/>
              <w:right w:w="100" w:type="dxa"/>
            </w:tcMar>
          </w:tcPr>
          <w:p w:rsidR="00B80B47" w:rsidRDefault="00B80B47" w:rsidP="00E00A80">
            <w:pPr>
              <w:spacing w:line="240" w:lineRule="auto"/>
            </w:pPr>
            <w:r>
              <w:t>META description:</w:t>
            </w:r>
          </w:p>
        </w:tc>
        <w:tc>
          <w:tcPr>
            <w:tcW w:w="8010" w:type="dxa"/>
            <w:shd w:val="clear" w:color="auto" w:fill="auto"/>
            <w:tcMar>
              <w:top w:w="100" w:type="dxa"/>
              <w:left w:w="100" w:type="dxa"/>
              <w:bottom w:w="100" w:type="dxa"/>
              <w:right w:w="100" w:type="dxa"/>
            </w:tcMar>
          </w:tcPr>
          <w:p w:rsidR="00B80B47" w:rsidRPr="00013DAD" w:rsidRDefault="00B80B47" w:rsidP="00624778">
            <w:pPr>
              <w:jc w:val="both"/>
              <w:rPr>
                <w:rFonts w:ascii="Arial" w:hAnsi="Arial" w:cs="Arial"/>
                <w:bCs/>
              </w:rPr>
            </w:pPr>
            <w:r>
              <w:rPr>
                <w:rFonts w:ascii="Arial" w:hAnsi="Arial" w:cs="Arial"/>
                <w:bCs/>
              </w:rPr>
              <w:t>The PCC is asked to approve</w:t>
            </w:r>
            <w:r w:rsidR="00624778" w:rsidRPr="004E3BF9">
              <w:rPr>
                <w:rFonts w:ascii="Arial" w:hAnsi="Arial" w:cs="Arial"/>
                <w:bCs/>
              </w:rPr>
              <w:t xml:space="preserve"> a grant funding contribution towards the work to be undertaken by the </w:t>
            </w:r>
            <w:r w:rsidR="00624778">
              <w:rPr>
                <w:rFonts w:ascii="Arial" w:hAnsi="Arial" w:cs="Arial"/>
                <w:bCs/>
              </w:rPr>
              <w:t>Sexual Violence Project Manager at a cost of £13,144.</w:t>
            </w:r>
          </w:p>
        </w:tc>
      </w:tr>
    </w:tbl>
    <w:p w:rsidR="00B80B47" w:rsidRPr="00377DB1" w:rsidRDefault="00B80B47" w:rsidP="00B80B47">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B80B47" w:rsidRDefault="00B80B47" w:rsidP="00B80B47"/>
    <w:p w:rsidR="00817EBB" w:rsidRDefault="00817EBB"/>
    <w:sectPr w:rsidR="00817EBB" w:rsidSect="00526F29">
      <w:footerReference w:type="default" r:id="rId7"/>
      <w:footerReference w:type="first" r:id="rId8"/>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624778"/>
  <w:p w:rsidR="00526F29" w:rsidRDefault="00624778"/>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624778"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624778"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624778" w:rsidP="00F81E46">
    <w:pPr>
      <w:rPr>
        <w:sz w:val="16"/>
        <w:szCs w:val="16"/>
      </w:rPr>
    </w:pPr>
  </w:p>
  <w:p w:rsidR="008156FB" w:rsidRPr="00F81E46" w:rsidRDefault="00624778" w:rsidP="00F81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624778">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47"/>
    <w:rsid w:val="00624778"/>
    <w:rsid w:val="00817EBB"/>
    <w:rsid w:val="00B80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0B47"/>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B80B47"/>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0B47"/>
    <w:rPr>
      <w:rFonts w:ascii="PT Serif" w:eastAsia="PT Serif" w:hAnsi="PT Serif" w:cs="PT Serif"/>
      <w:b/>
      <w:sz w:val="36"/>
      <w:szCs w:val="36"/>
      <w:lang w:eastAsia="en-GB"/>
    </w:rPr>
  </w:style>
  <w:style w:type="paragraph" w:styleId="Footer">
    <w:name w:val="footer"/>
    <w:basedOn w:val="Normal"/>
    <w:link w:val="FooterChar"/>
    <w:rsid w:val="00B80B47"/>
    <w:pPr>
      <w:tabs>
        <w:tab w:val="center" w:pos="4153"/>
        <w:tab w:val="right" w:pos="8306"/>
      </w:tabs>
    </w:pPr>
  </w:style>
  <w:style w:type="character" w:customStyle="1" w:styleId="FooterChar">
    <w:name w:val="Footer Char"/>
    <w:basedOn w:val="DefaultParagraphFont"/>
    <w:link w:val="Footer"/>
    <w:rsid w:val="00B80B47"/>
    <w:rPr>
      <w:rFonts w:ascii="PT Serif" w:eastAsia="PT Serif" w:hAnsi="PT Serif" w:cs="PT Serif"/>
      <w:lang w:eastAsia="en-GB"/>
    </w:rPr>
  </w:style>
  <w:style w:type="character" w:styleId="PageNumber">
    <w:name w:val="page number"/>
    <w:basedOn w:val="DefaultParagraphFont"/>
    <w:rsid w:val="00B80B47"/>
  </w:style>
  <w:style w:type="paragraph" w:styleId="Title">
    <w:name w:val="Title"/>
    <w:basedOn w:val="Normal"/>
    <w:next w:val="Normal"/>
    <w:link w:val="TitleChar"/>
    <w:rsid w:val="00B80B47"/>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B80B47"/>
    <w:rPr>
      <w:rFonts w:ascii="Montserrat" w:eastAsia="Montserrat" w:hAnsi="Montserrat" w:cs="Montserrat"/>
      <w:sz w:val="52"/>
      <w:szCs w:val="52"/>
      <w:lang w:eastAsia="en-GB"/>
    </w:rPr>
  </w:style>
  <w:style w:type="character" w:styleId="Hyperlink">
    <w:name w:val="Hyperlink"/>
    <w:basedOn w:val="DefaultParagraphFont"/>
    <w:uiPriority w:val="99"/>
    <w:unhideWhenUsed/>
    <w:rsid w:val="00B80B47"/>
    <w:rPr>
      <w:color w:val="0000FF" w:themeColor="hyperlink"/>
      <w:u w:val="single"/>
    </w:rPr>
  </w:style>
  <w:style w:type="paragraph" w:styleId="BalloonText">
    <w:name w:val="Balloon Text"/>
    <w:basedOn w:val="Normal"/>
    <w:link w:val="BalloonTextChar"/>
    <w:uiPriority w:val="99"/>
    <w:semiHidden/>
    <w:unhideWhenUsed/>
    <w:rsid w:val="00B80B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47"/>
    <w:rPr>
      <w:rFonts w:ascii="Tahoma" w:eastAsia="PT Serif"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0B47"/>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B80B47"/>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0B47"/>
    <w:rPr>
      <w:rFonts w:ascii="PT Serif" w:eastAsia="PT Serif" w:hAnsi="PT Serif" w:cs="PT Serif"/>
      <w:b/>
      <w:sz w:val="36"/>
      <w:szCs w:val="36"/>
      <w:lang w:eastAsia="en-GB"/>
    </w:rPr>
  </w:style>
  <w:style w:type="paragraph" w:styleId="Footer">
    <w:name w:val="footer"/>
    <w:basedOn w:val="Normal"/>
    <w:link w:val="FooterChar"/>
    <w:rsid w:val="00B80B47"/>
    <w:pPr>
      <w:tabs>
        <w:tab w:val="center" w:pos="4153"/>
        <w:tab w:val="right" w:pos="8306"/>
      </w:tabs>
    </w:pPr>
  </w:style>
  <w:style w:type="character" w:customStyle="1" w:styleId="FooterChar">
    <w:name w:val="Footer Char"/>
    <w:basedOn w:val="DefaultParagraphFont"/>
    <w:link w:val="Footer"/>
    <w:rsid w:val="00B80B47"/>
    <w:rPr>
      <w:rFonts w:ascii="PT Serif" w:eastAsia="PT Serif" w:hAnsi="PT Serif" w:cs="PT Serif"/>
      <w:lang w:eastAsia="en-GB"/>
    </w:rPr>
  </w:style>
  <w:style w:type="character" w:styleId="PageNumber">
    <w:name w:val="page number"/>
    <w:basedOn w:val="DefaultParagraphFont"/>
    <w:rsid w:val="00B80B47"/>
  </w:style>
  <w:style w:type="paragraph" w:styleId="Title">
    <w:name w:val="Title"/>
    <w:basedOn w:val="Normal"/>
    <w:next w:val="Normal"/>
    <w:link w:val="TitleChar"/>
    <w:rsid w:val="00B80B47"/>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B80B47"/>
    <w:rPr>
      <w:rFonts w:ascii="Montserrat" w:eastAsia="Montserrat" w:hAnsi="Montserrat" w:cs="Montserrat"/>
      <w:sz w:val="52"/>
      <w:szCs w:val="52"/>
      <w:lang w:eastAsia="en-GB"/>
    </w:rPr>
  </w:style>
  <w:style w:type="character" w:styleId="Hyperlink">
    <w:name w:val="Hyperlink"/>
    <w:basedOn w:val="DefaultParagraphFont"/>
    <w:uiPriority w:val="99"/>
    <w:unhideWhenUsed/>
    <w:rsid w:val="00B80B47"/>
    <w:rPr>
      <w:color w:val="0000FF" w:themeColor="hyperlink"/>
      <w:u w:val="single"/>
    </w:rPr>
  </w:style>
  <w:style w:type="paragraph" w:styleId="BalloonText">
    <w:name w:val="Balloon Text"/>
    <w:basedOn w:val="Normal"/>
    <w:link w:val="BalloonTextChar"/>
    <w:uiPriority w:val="99"/>
    <w:semiHidden/>
    <w:unhideWhenUsed/>
    <w:rsid w:val="00B80B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47"/>
    <w:rPr>
      <w:rFonts w:ascii="Tahoma" w:eastAsia="PT Serif"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leveland.pcc.police.uk/Document-Library/Decisions/Made-By-the-PCC/2016/Ref-42-SV-Co-ordinator-proejct-lead.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2</TotalTime>
  <Pages>5</Pages>
  <Words>907</Words>
  <Characters>5173</Characters>
  <Application>Microsoft Office Word</Application>
  <DocSecurity>0</DocSecurity>
  <Lines>43</Lines>
  <Paragraphs>12</Paragraphs>
  <ScaleCrop>false</ScaleCrop>
  <Company>Cleveland Police</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2</cp:revision>
  <dcterms:created xsi:type="dcterms:W3CDTF">2020-09-11T10:49:00Z</dcterms:created>
  <dcterms:modified xsi:type="dcterms:W3CDTF">2020-09-11T10:51:00Z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7db591e9-17aa-4afe-afbb-0e2b3ef2aad9</vt:lpwstr>
  </property>
  <property fmtid="{D5CDD505-2E9C-101B-9397-08002B2CF9AE}" pid="3" name="Classification">
    <vt:lpwstr>OFFICIAL</vt:lpwstr>
  </property>
</Properties>
</file>