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4EEA" w14:textId="77777777" w:rsidR="00C627B1" w:rsidRDefault="00D74FEF" w:rsidP="00C627B1">
      <w:pPr>
        <w:rPr>
          <w:b/>
          <w:sz w:val="28"/>
          <w:szCs w:val="28"/>
        </w:rPr>
      </w:pPr>
      <w:r>
        <w:rPr>
          <w:b/>
          <w:sz w:val="28"/>
          <w:szCs w:val="28"/>
        </w:rPr>
        <w:t>JUNE 2021</w:t>
      </w:r>
    </w:p>
    <w:p w14:paraId="1D9027F9" w14:textId="77777777" w:rsidR="00C627B1" w:rsidRDefault="00D94FFE" w:rsidP="00C627B1">
      <w:pPr>
        <w:rPr>
          <w:b/>
          <w:sz w:val="28"/>
          <w:szCs w:val="28"/>
        </w:rPr>
      </w:pPr>
      <w:r>
        <w:rPr>
          <w:b/>
          <w:sz w:val="28"/>
          <w:szCs w:val="28"/>
        </w:rPr>
        <w:t xml:space="preserve">EXECUTIVE &amp; PRESENTING OFFICER: </w:t>
      </w:r>
    </w:p>
    <w:p w14:paraId="3E5A4171" w14:textId="77777777" w:rsidR="00C627B1" w:rsidRDefault="00D94FFE" w:rsidP="00C627B1">
      <w:pPr>
        <w:rPr>
          <w:b/>
          <w:sz w:val="28"/>
          <w:szCs w:val="28"/>
        </w:rPr>
      </w:pPr>
      <w:r>
        <w:rPr>
          <w:b/>
          <w:sz w:val="28"/>
          <w:szCs w:val="28"/>
        </w:rPr>
        <w:t xml:space="preserve">STATUS: FOR INFORMATION </w:t>
      </w:r>
    </w:p>
    <w:p w14:paraId="278D588E" w14:textId="77777777" w:rsidR="00914545" w:rsidRPr="0073271C" w:rsidRDefault="00D94FFE" w:rsidP="0073271C">
      <w:pPr>
        <w:rPr>
          <w:b/>
          <w:sz w:val="28"/>
          <w:szCs w:val="28"/>
        </w:rPr>
      </w:pPr>
      <w:r w:rsidRPr="0073271C">
        <w:rPr>
          <w:b/>
          <w:sz w:val="28"/>
          <w:szCs w:val="28"/>
        </w:rPr>
        <w:t xml:space="preserve">PURPOSE </w:t>
      </w:r>
    </w:p>
    <w:p w14:paraId="748B0484" w14:textId="77777777" w:rsidR="00914545" w:rsidRDefault="00914545" w:rsidP="00914545">
      <w:pPr>
        <w:pStyle w:val="ListParagraph"/>
        <w:numPr>
          <w:ilvl w:val="1"/>
          <w:numId w:val="1"/>
        </w:numPr>
        <w:jc w:val="both"/>
      </w:pPr>
      <w:r>
        <w:t xml:space="preserve">This is a report covering the period of </w:t>
      </w:r>
      <w:r w:rsidR="00D74FEF">
        <w:t>1</w:t>
      </w:r>
      <w:r w:rsidR="00D74FEF" w:rsidRPr="00D74FEF">
        <w:rPr>
          <w:vertAlign w:val="superscript"/>
        </w:rPr>
        <w:t>st</w:t>
      </w:r>
      <w:r w:rsidR="00D74FEF">
        <w:t xml:space="preserve"> September 2020 to 28</w:t>
      </w:r>
      <w:r w:rsidR="00D74FEF" w:rsidRPr="00D74FEF">
        <w:rPr>
          <w:vertAlign w:val="superscript"/>
        </w:rPr>
        <w:t>th</w:t>
      </w:r>
      <w:r w:rsidR="00D74FEF">
        <w:t xml:space="preserve"> February 2021</w:t>
      </w:r>
      <w:r w:rsidR="00A32C70">
        <w:t xml:space="preserve"> </w:t>
      </w:r>
      <w:r w:rsidR="00880C94">
        <w:t xml:space="preserve">(6 months) </w:t>
      </w:r>
      <w:r>
        <w:t xml:space="preserve">and its purpose is to advise members of the number and types of civil </w:t>
      </w:r>
      <w:r w:rsidR="00006457">
        <w:t xml:space="preserve">and employment </w:t>
      </w:r>
      <w:r>
        <w:t xml:space="preserve">claims against the Force received during the period and the amount paid out for those claims finalised during the period together with reasons for settlement. The report also includes the current legal activity for </w:t>
      </w:r>
      <w:r w:rsidR="008B35F7">
        <w:t xml:space="preserve">Cleveland, </w:t>
      </w:r>
      <w:r>
        <w:t xml:space="preserve">Evolve Legal Services and the </w:t>
      </w:r>
      <w:r w:rsidR="008B35F7">
        <w:t>development o</w:t>
      </w:r>
      <w:r>
        <w:t>f the collaborated Legal Service.</w:t>
      </w:r>
    </w:p>
    <w:p w14:paraId="1439405B" w14:textId="77777777" w:rsidR="00914545" w:rsidRPr="0073271C" w:rsidRDefault="00D94FFE" w:rsidP="0073271C">
      <w:pPr>
        <w:jc w:val="both"/>
        <w:rPr>
          <w:b/>
          <w:sz w:val="28"/>
          <w:szCs w:val="28"/>
        </w:rPr>
      </w:pPr>
      <w:r w:rsidRPr="0073271C">
        <w:rPr>
          <w:b/>
          <w:sz w:val="28"/>
          <w:szCs w:val="28"/>
        </w:rPr>
        <w:t>RECOMMENDATIONS</w:t>
      </w:r>
    </w:p>
    <w:p w14:paraId="73669508" w14:textId="77777777" w:rsidR="00914545" w:rsidRPr="00442297" w:rsidRDefault="00914545" w:rsidP="00914545">
      <w:pPr>
        <w:pStyle w:val="ListParagraph"/>
        <w:numPr>
          <w:ilvl w:val="1"/>
          <w:numId w:val="1"/>
        </w:numPr>
        <w:jc w:val="both"/>
      </w:pPr>
      <w:r w:rsidRPr="00442297">
        <w:t>It is recommended that Members note the content of the report.</w:t>
      </w:r>
    </w:p>
    <w:p w14:paraId="41705A07" w14:textId="77777777" w:rsidR="00CA0B15" w:rsidRPr="00442297" w:rsidRDefault="00D94FFE" w:rsidP="0073271C">
      <w:pPr>
        <w:jc w:val="both"/>
        <w:rPr>
          <w:b/>
          <w:sz w:val="28"/>
          <w:szCs w:val="28"/>
        </w:rPr>
      </w:pPr>
      <w:r w:rsidRPr="00D24A0F">
        <w:rPr>
          <w:b/>
          <w:sz w:val="28"/>
          <w:szCs w:val="28"/>
        </w:rPr>
        <w:t>SUMMARY OF LEGAL SERVICES COLLABORATION</w:t>
      </w:r>
    </w:p>
    <w:p w14:paraId="0E3A9DC8" w14:textId="77777777" w:rsidR="008A659C" w:rsidRDefault="008A659C" w:rsidP="0073271C">
      <w:pPr>
        <w:pStyle w:val="ListParagraph"/>
        <w:numPr>
          <w:ilvl w:val="1"/>
          <w:numId w:val="1"/>
        </w:numPr>
        <w:jc w:val="both"/>
      </w:pPr>
      <w:r>
        <w:t>Evolve Legal Services is a policing collaboration that delivers legal services on behalf of 6 corporations sole (the Commissioners and Chief Constables of North Yorkshire, Durham and Cleveland</w:t>
      </w:r>
      <w:r w:rsidR="00FC5F7B">
        <w:t>)</w:t>
      </w:r>
      <w:r>
        <w:t>.</w:t>
      </w:r>
    </w:p>
    <w:p w14:paraId="79C3AFF5" w14:textId="77777777" w:rsidR="008A659C" w:rsidRDefault="008A659C" w:rsidP="008A659C">
      <w:pPr>
        <w:pStyle w:val="ListParagraph"/>
        <w:ind w:left="360"/>
        <w:jc w:val="both"/>
      </w:pPr>
    </w:p>
    <w:p w14:paraId="634253F2" w14:textId="77777777" w:rsidR="008A659C" w:rsidRDefault="008A659C" w:rsidP="0073271C">
      <w:pPr>
        <w:pStyle w:val="ListParagraph"/>
        <w:numPr>
          <w:ilvl w:val="1"/>
          <w:numId w:val="1"/>
        </w:numPr>
        <w:jc w:val="both"/>
      </w:pPr>
      <w:r>
        <w:t xml:space="preserve"> </w:t>
      </w:r>
      <w:r w:rsidR="00AB1505">
        <w:t>The s</w:t>
      </w:r>
      <w:r>
        <w:t>ervice provides in-house legal advice and representation across a broad range of legal matters and has expertise in civil litigation, employment litigation, commercial and operational law.</w:t>
      </w:r>
    </w:p>
    <w:p w14:paraId="029B5431" w14:textId="77777777" w:rsidR="008A659C" w:rsidRDefault="008A659C" w:rsidP="008A659C">
      <w:pPr>
        <w:pStyle w:val="ListParagraph"/>
      </w:pPr>
    </w:p>
    <w:p w14:paraId="1BF99726" w14:textId="77777777" w:rsidR="009A5994" w:rsidRDefault="008A659C" w:rsidP="0073271C">
      <w:pPr>
        <w:pStyle w:val="ListParagraph"/>
        <w:numPr>
          <w:ilvl w:val="1"/>
          <w:numId w:val="1"/>
        </w:numPr>
        <w:jc w:val="both"/>
      </w:pPr>
      <w:r>
        <w:t xml:space="preserve">The service is a virtual service which has </w:t>
      </w:r>
      <w:r w:rsidRPr="004C4672">
        <w:t xml:space="preserve">57 </w:t>
      </w:r>
      <w:r w:rsidR="009A5994" w:rsidRPr="004C4672">
        <w:t>permanent and temporary staff</w:t>
      </w:r>
      <w:r w:rsidR="009A5994">
        <w:t xml:space="preserve"> </w:t>
      </w:r>
      <w:r>
        <w:t xml:space="preserve">comprising barristers, </w:t>
      </w:r>
      <w:r w:rsidR="009A5994">
        <w:t>solicitors, legal executives</w:t>
      </w:r>
      <w:r>
        <w:t xml:space="preserve"> and paralegals. The service is delivered out of three hubs located at Peterlee, Middlesbrough and North Yorkshire but legal staff are expected to work across all clients. </w:t>
      </w:r>
      <w:r w:rsidR="009A5994">
        <w:t>All staff</w:t>
      </w:r>
      <w:r w:rsidR="00AB1505">
        <w:t xml:space="preserve"> are equipped to work remotely</w:t>
      </w:r>
      <w:r w:rsidR="009A5994">
        <w:t>.</w:t>
      </w:r>
    </w:p>
    <w:p w14:paraId="51283AE3" w14:textId="77777777" w:rsidR="009A5994" w:rsidRDefault="009A5994" w:rsidP="009A5994">
      <w:pPr>
        <w:pStyle w:val="ListParagraph"/>
      </w:pPr>
    </w:p>
    <w:p w14:paraId="0F67FC25" w14:textId="77777777" w:rsidR="009A5994" w:rsidRDefault="009A5994" w:rsidP="0073271C">
      <w:pPr>
        <w:pStyle w:val="ListParagraph"/>
        <w:numPr>
          <w:ilvl w:val="1"/>
          <w:numId w:val="1"/>
        </w:numPr>
        <w:jc w:val="both"/>
      </w:pPr>
      <w:r>
        <w:t>The service records legal activity using case management systems and monthly activity reports are maintained to manage trends in demand and skills gaps.</w:t>
      </w:r>
    </w:p>
    <w:p w14:paraId="2340DD94" w14:textId="77777777" w:rsidR="009A5994" w:rsidRDefault="009A5994" w:rsidP="009A5994">
      <w:pPr>
        <w:pStyle w:val="ListParagraph"/>
      </w:pPr>
    </w:p>
    <w:p w14:paraId="0A812AD8" w14:textId="77777777" w:rsidR="005824E2" w:rsidRPr="00D24A0F" w:rsidRDefault="005824E2" w:rsidP="0073271C">
      <w:pPr>
        <w:pStyle w:val="ListParagraph"/>
        <w:numPr>
          <w:ilvl w:val="1"/>
          <w:numId w:val="1"/>
        </w:numPr>
        <w:jc w:val="both"/>
      </w:pPr>
      <w:r w:rsidRPr="00D24A0F">
        <w:t xml:space="preserve">As at </w:t>
      </w:r>
      <w:r w:rsidR="00D24A0F" w:rsidRPr="00D24A0F">
        <w:t>May 2021</w:t>
      </w:r>
      <w:r w:rsidRPr="00D24A0F">
        <w:t>, the Evolve Legal Services Collaboration has:</w:t>
      </w:r>
    </w:p>
    <w:p w14:paraId="18555D2A" w14:textId="77777777" w:rsidR="005824E2" w:rsidRDefault="005824E2" w:rsidP="005824E2">
      <w:pPr>
        <w:pStyle w:val="ListParagraph"/>
        <w:ind w:left="360"/>
        <w:jc w:val="both"/>
      </w:pPr>
    </w:p>
    <w:p w14:paraId="1DE3CCAE" w14:textId="77777777" w:rsidR="005824E2" w:rsidRDefault="005824E2" w:rsidP="00AB1505">
      <w:pPr>
        <w:pStyle w:val="ListParagraph"/>
        <w:numPr>
          <w:ilvl w:val="2"/>
          <w:numId w:val="1"/>
        </w:numPr>
        <w:jc w:val="both"/>
      </w:pPr>
      <w:r>
        <w:t>A staffing structure that adopted the pre-existing staffing structure in the Durham and North Yorkshire teams with growth on both lawyer grades and support staff posts in the Cleveland Team. The growth reflected the sustained increase in demand for services in the Cleveland area.</w:t>
      </w:r>
      <w:r w:rsidR="004750D0">
        <w:t xml:space="preserve"> Additionally, the service has started to recruit to collaborative posts (jointly funded posts) with successful </w:t>
      </w:r>
      <w:r w:rsidR="00D77EEF">
        <w:t>recruitment to the Operational T</w:t>
      </w:r>
      <w:r w:rsidR="004750D0">
        <w:t xml:space="preserve">eam </w:t>
      </w:r>
      <w:r w:rsidR="00D24A0F">
        <w:t xml:space="preserve">and Employment Team </w:t>
      </w:r>
      <w:r w:rsidR="00D77EEF">
        <w:t xml:space="preserve">that </w:t>
      </w:r>
      <w:r w:rsidR="00D24A0F">
        <w:t>are</w:t>
      </w:r>
      <w:r w:rsidR="00D77EEF">
        <w:t xml:space="preserve"> </w:t>
      </w:r>
      <w:r w:rsidR="004750D0">
        <w:t xml:space="preserve">funded between </w:t>
      </w:r>
      <w:r w:rsidR="00D24A0F">
        <w:t>the three forces and Commissioners</w:t>
      </w:r>
      <w:r w:rsidR="00650706">
        <w:t xml:space="preserve">. </w:t>
      </w:r>
      <w:r w:rsidR="004750D0">
        <w:t xml:space="preserve"> </w:t>
      </w:r>
    </w:p>
    <w:p w14:paraId="4730006F" w14:textId="77777777" w:rsidR="005824E2" w:rsidRDefault="005824E2" w:rsidP="005824E2">
      <w:pPr>
        <w:pStyle w:val="ListParagraph"/>
        <w:ind w:left="360"/>
        <w:jc w:val="both"/>
      </w:pPr>
    </w:p>
    <w:p w14:paraId="178D7845" w14:textId="77777777" w:rsidR="005824E2" w:rsidRDefault="005824E2" w:rsidP="00AB1505">
      <w:pPr>
        <w:pStyle w:val="ListParagraph"/>
        <w:numPr>
          <w:ilvl w:val="2"/>
          <w:numId w:val="1"/>
        </w:numPr>
        <w:jc w:val="both"/>
      </w:pPr>
      <w:r>
        <w:t>The teams are led by a professional head (a Force Solicitor or Deputy Force Solicitor) with a business and legal portfolio, each reporting to the Director of Legal Services.  Each professional head has responsibility for the quality, costs and efficiency of the service delivery in their portfolio areas. Risk management is undertaken by each Head of Portfolio with the Director of Evolve Legal reporting to each executive on high risk cases.</w:t>
      </w:r>
    </w:p>
    <w:p w14:paraId="294BAFA8" w14:textId="77777777" w:rsidR="005824E2" w:rsidRDefault="005824E2" w:rsidP="005824E2">
      <w:pPr>
        <w:pStyle w:val="ListParagraph"/>
        <w:ind w:left="360"/>
        <w:jc w:val="both"/>
      </w:pPr>
    </w:p>
    <w:p w14:paraId="579E8989" w14:textId="77777777" w:rsidR="00D24A0F" w:rsidRDefault="005824E2" w:rsidP="00AB1505">
      <w:pPr>
        <w:pStyle w:val="ListParagraph"/>
        <w:numPr>
          <w:ilvl w:val="2"/>
          <w:numId w:val="1"/>
        </w:numPr>
        <w:jc w:val="both"/>
      </w:pPr>
      <w:r>
        <w:t>Costs are attributed to each corporation sole as a ‘client’ so that reporting on costs, forecasts and performance can be delivered to each client Chief Finance Officer.</w:t>
      </w:r>
      <w:r w:rsidR="00D94FFE">
        <w:t xml:space="preserve"> </w:t>
      </w:r>
      <w:r w:rsidR="003511DB">
        <w:t xml:space="preserve">We are not totalling the three legal </w:t>
      </w:r>
      <w:proofErr w:type="gramStart"/>
      <w:r w:rsidR="003511DB">
        <w:t>units</w:t>
      </w:r>
      <w:proofErr w:type="gramEnd"/>
      <w:r w:rsidR="003511DB">
        <w:t xml:space="preserve"> costs and multiplying by</w:t>
      </w:r>
      <w:r w:rsidR="000802B5">
        <w:t xml:space="preserve"> use of the Lawyers to recharge</w:t>
      </w:r>
      <w:r w:rsidR="00162216">
        <w:t xml:space="preserve"> each force at present. </w:t>
      </w:r>
      <w:r w:rsidR="003511DB">
        <w:t xml:space="preserve"> </w:t>
      </w:r>
    </w:p>
    <w:p w14:paraId="780F2DE0" w14:textId="77777777" w:rsidR="00D24A0F" w:rsidRDefault="00D24A0F" w:rsidP="00D24A0F">
      <w:pPr>
        <w:pStyle w:val="ListParagraph"/>
      </w:pPr>
    </w:p>
    <w:p w14:paraId="795FD3CC" w14:textId="77777777" w:rsidR="005824E2" w:rsidRDefault="00D94FFE" w:rsidP="004046D5">
      <w:pPr>
        <w:pStyle w:val="ListParagraph"/>
        <w:numPr>
          <w:ilvl w:val="2"/>
          <w:numId w:val="1"/>
        </w:numPr>
      </w:pPr>
      <w:r>
        <w:t>Legal Services provides external legal services using the National Legal Services Framework (NLSF) and CLEP Framework which are nationally agreed fee structures for external law firms and Chambers.</w:t>
      </w:r>
      <w:r w:rsidR="00D24A0F">
        <w:t xml:space="preserve"> The NLSF has recently been renegotiated and this has been adopted as at 31</w:t>
      </w:r>
      <w:r w:rsidR="00D24A0F" w:rsidRPr="004046D5">
        <w:rPr>
          <w:vertAlign w:val="superscript"/>
        </w:rPr>
        <w:t>st</w:t>
      </w:r>
      <w:r w:rsidR="00D24A0F">
        <w:t xml:space="preserve"> May 2021.</w:t>
      </w:r>
      <w:r w:rsidR="004046D5" w:rsidRPr="004046D5">
        <w:t xml:space="preserve"> External legal fees are managed by individua</w:t>
      </w:r>
      <w:r w:rsidR="00FC5F7B">
        <w:t>l lawyers who use the National L</w:t>
      </w:r>
      <w:r w:rsidR="004046D5" w:rsidRPr="004046D5">
        <w:t xml:space="preserve">egal Services Framework and CLEP Framework to achieve the best value for money across a range of external legal providers. </w:t>
      </w:r>
      <w:r w:rsidR="003511DB">
        <w:t>We instruct external law firms and Chambers t</w:t>
      </w:r>
      <w:r w:rsidR="000802B5">
        <w:t>o act on our behalf to provide the services in accordance</w:t>
      </w:r>
      <w:r w:rsidR="003511DB">
        <w:t xml:space="preserve"> with NLFS and CLEP</w:t>
      </w:r>
      <w:r w:rsidR="000802B5">
        <w:t xml:space="preserve"> Framework</w:t>
      </w:r>
      <w:r w:rsidR="003511DB">
        <w:t xml:space="preserve"> when required. </w:t>
      </w:r>
    </w:p>
    <w:p w14:paraId="6C4D28D3" w14:textId="77777777" w:rsidR="005824E2" w:rsidRDefault="005824E2" w:rsidP="005824E2">
      <w:pPr>
        <w:pStyle w:val="ListParagraph"/>
        <w:ind w:left="360"/>
        <w:jc w:val="both"/>
      </w:pPr>
    </w:p>
    <w:p w14:paraId="67242042" w14:textId="77777777" w:rsidR="005824E2" w:rsidRDefault="005824E2" w:rsidP="00AB1505">
      <w:pPr>
        <w:pStyle w:val="ListParagraph"/>
        <w:numPr>
          <w:ilvl w:val="2"/>
          <w:numId w:val="1"/>
        </w:numPr>
        <w:jc w:val="both"/>
      </w:pPr>
      <w:r>
        <w:t>Financial, risk and corporate management of legal services is delivered between the Director and Force Solicitors and relevant statutory officers within the relevant Offices of the Police and Crime C</w:t>
      </w:r>
      <w:r w:rsidR="003511DB">
        <w:t>ommissioners and police forces</w:t>
      </w:r>
      <w:r>
        <w:t xml:space="preserve">.  This is managed internally in compliance with the Evolve legal services governance and performance management arrangements.  These arrangements preserve local, trusted relationships, specifically legal services provided direct to the Police and Crime Commissioners and Chief Constables.  </w:t>
      </w:r>
    </w:p>
    <w:p w14:paraId="6FF67CAF" w14:textId="77777777" w:rsidR="005824E2" w:rsidRDefault="005824E2" w:rsidP="005824E2">
      <w:pPr>
        <w:pStyle w:val="ListParagraph"/>
        <w:ind w:left="360"/>
        <w:jc w:val="both"/>
      </w:pPr>
    </w:p>
    <w:p w14:paraId="5E1A3750" w14:textId="77777777" w:rsidR="005824E2" w:rsidRDefault="005824E2" w:rsidP="00AB1505">
      <w:pPr>
        <w:pStyle w:val="ListParagraph"/>
        <w:numPr>
          <w:ilvl w:val="2"/>
          <w:numId w:val="1"/>
        </w:numPr>
        <w:jc w:val="both"/>
      </w:pPr>
      <w:r>
        <w:t xml:space="preserve">There has been limited staff </w:t>
      </w:r>
      <w:r w:rsidR="004750D0">
        <w:t>turnover</w:t>
      </w:r>
      <w:r>
        <w:t xml:space="preserve"> during the change process and where staff have left it has been due to professional opportunity and increased benefits, and retirement. The service has developed an accurate assessment of skills gaps and succession planning</w:t>
      </w:r>
      <w:r w:rsidR="004750D0">
        <w:t xml:space="preserve"> and has undertaken recent recruitment to build capacity and increase efficiency in reducing the work referred to external providers</w:t>
      </w:r>
      <w:r>
        <w:t>.</w:t>
      </w:r>
      <w:r w:rsidR="00650706">
        <w:t xml:space="preserve"> Where posts have been advertised during the reporting period, the applicants have included high calibre candidates and we have had a good response to vacancies. The high level of well qualified applicants suggests that the collaborative legal service and Cleveland Police are attractive employment opportunities. </w:t>
      </w:r>
    </w:p>
    <w:p w14:paraId="2EC8EE13" w14:textId="77777777" w:rsidR="005824E2" w:rsidRDefault="005824E2" w:rsidP="005824E2">
      <w:pPr>
        <w:pStyle w:val="ListParagraph"/>
        <w:ind w:left="360"/>
        <w:jc w:val="both"/>
      </w:pPr>
    </w:p>
    <w:p w14:paraId="6D622BF6" w14:textId="77777777" w:rsidR="005824E2" w:rsidRDefault="005824E2" w:rsidP="00AB1505">
      <w:pPr>
        <w:pStyle w:val="ListParagraph"/>
        <w:numPr>
          <w:ilvl w:val="2"/>
          <w:numId w:val="1"/>
        </w:numPr>
        <w:jc w:val="both"/>
      </w:pPr>
      <w:r>
        <w:t>Legal work</w:t>
      </w:r>
      <w:r w:rsidR="00650706">
        <w:t xml:space="preserve"> continues to be </w:t>
      </w:r>
      <w:r>
        <w:t xml:space="preserve">delivered across force boundaries and there has been a positive </w:t>
      </w:r>
      <w:r w:rsidR="004750D0">
        <w:t xml:space="preserve">and sustained </w:t>
      </w:r>
      <w:r>
        <w:t>increase in the services provided to OPCCs.</w:t>
      </w:r>
    </w:p>
    <w:p w14:paraId="6A3D6D22" w14:textId="77777777" w:rsidR="005824E2" w:rsidRDefault="005824E2" w:rsidP="005824E2">
      <w:pPr>
        <w:pStyle w:val="ListParagraph"/>
        <w:ind w:left="360"/>
        <w:jc w:val="both"/>
      </w:pPr>
    </w:p>
    <w:p w14:paraId="5190996D" w14:textId="77777777" w:rsidR="005824E2" w:rsidRDefault="005824E2" w:rsidP="00AB1505">
      <w:pPr>
        <w:pStyle w:val="ListParagraph"/>
        <w:numPr>
          <w:ilvl w:val="2"/>
          <w:numId w:val="1"/>
        </w:numPr>
        <w:jc w:val="both"/>
      </w:pPr>
      <w:r>
        <w:t xml:space="preserve">Single processes have been designed by practitioners as part of the convergence work.  These processes are essential to capitalise on digital working and the easy and efficient allocation of cases across teams. This has been dependent on the introduction of a case management system, and centralised knowledge hub which shares key cases and professional </w:t>
      </w:r>
      <w:r w:rsidR="0073271C">
        <w:t>d</w:t>
      </w:r>
      <w:r>
        <w:t>evelopment as well as serving as a central team resource. Work is well underway to finalise workflows and aligned processes, for example how work is allocated.</w:t>
      </w:r>
    </w:p>
    <w:p w14:paraId="335ACFE7" w14:textId="77777777" w:rsidR="005824E2" w:rsidRDefault="005824E2" w:rsidP="005824E2">
      <w:pPr>
        <w:pStyle w:val="ListParagraph"/>
        <w:ind w:left="360"/>
        <w:jc w:val="both"/>
      </w:pPr>
    </w:p>
    <w:p w14:paraId="3DE69A93" w14:textId="77777777" w:rsidR="004750D0" w:rsidRDefault="005824E2" w:rsidP="00650706">
      <w:pPr>
        <w:pStyle w:val="ListParagraph"/>
        <w:numPr>
          <w:ilvl w:val="2"/>
          <w:numId w:val="1"/>
        </w:numPr>
        <w:jc w:val="both"/>
      </w:pPr>
      <w:r>
        <w:t>A corporate launch has been delivered. The service has been working to the operating model for some time and both resources and IT enablers are in place to support full implementation. Each geographical hub has streamlined points of accessing the service and ha</w:t>
      </w:r>
      <w:r w:rsidR="004750D0">
        <w:t>s</w:t>
      </w:r>
      <w:r>
        <w:t xml:space="preserve"> allocation processes in place which utilise the virtual team resources. </w:t>
      </w:r>
    </w:p>
    <w:p w14:paraId="52C4C215" w14:textId="77777777" w:rsidR="005824E2" w:rsidRDefault="005824E2" w:rsidP="004046D5">
      <w:pPr>
        <w:jc w:val="both"/>
      </w:pPr>
    </w:p>
    <w:p w14:paraId="615680CF" w14:textId="77777777" w:rsidR="006E3FAC" w:rsidRDefault="00367B2C" w:rsidP="00C627B1">
      <w:pPr>
        <w:rPr>
          <w:b/>
          <w:sz w:val="28"/>
          <w:szCs w:val="28"/>
        </w:rPr>
      </w:pPr>
      <w:r w:rsidRPr="001138DB">
        <w:rPr>
          <w:b/>
          <w:bCs/>
          <w:sz w:val="28"/>
          <w:szCs w:val="28"/>
        </w:rPr>
        <w:t>P</w:t>
      </w:r>
      <w:r w:rsidR="0073271C" w:rsidRPr="001138DB">
        <w:rPr>
          <w:b/>
          <w:bCs/>
          <w:sz w:val="28"/>
          <w:szCs w:val="28"/>
        </w:rPr>
        <w:t>ROFILE OF WORK TYPE ACROSS LAWYER (GRADE A) AND PARALEGAL STAFF (GRADE D)</w:t>
      </w:r>
      <w:r w:rsidR="006E3FAC" w:rsidRPr="001138DB">
        <w:rPr>
          <w:noProof/>
          <w:lang w:eastAsia="en-GB"/>
        </w:rPr>
        <w:drawing>
          <wp:inline distT="0" distB="0" distL="0" distR="0" wp14:anchorId="5D1FC746" wp14:editId="272CB647">
            <wp:extent cx="5731510" cy="2836913"/>
            <wp:effectExtent l="0" t="0" r="2540" b="1905"/>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2836913"/>
                    </a:xfrm>
                    <a:prstGeom prst="rect">
                      <a:avLst/>
                    </a:prstGeom>
                  </pic:spPr>
                </pic:pic>
              </a:graphicData>
            </a:graphic>
          </wp:inline>
        </w:drawing>
      </w:r>
    </w:p>
    <w:p w14:paraId="4E987597" w14:textId="77777777" w:rsidR="0073271C" w:rsidRPr="0073271C" w:rsidRDefault="0073271C" w:rsidP="0073271C">
      <w:pPr>
        <w:rPr>
          <w:b/>
          <w:bCs/>
          <w:sz w:val="28"/>
          <w:szCs w:val="28"/>
        </w:rPr>
      </w:pPr>
      <w:r w:rsidRPr="00D74FEF">
        <w:rPr>
          <w:b/>
          <w:bCs/>
          <w:sz w:val="28"/>
          <w:szCs w:val="28"/>
        </w:rPr>
        <w:t xml:space="preserve">EMPLOYMENT </w:t>
      </w:r>
      <w:r w:rsidR="007C08EC" w:rsidRPr="00D74FEF">
        <w:rPr>
          <w:b/>
          <w:bCs/>
          <w:sz w:val="28"/>
          <w:szCs w:val="28"/>
        </w:rPr>
        <w:t xml:space="preserve">TRIBUNAL </w:t>
      </w:r>
      <w:r w:rsidRPr="00D74FEF">
        <w:rPr>
          <w:b/>
          <w:bCs/>
          <w:sz w:val="28"/>
          <w:szCs w:val="28"/>
        </w:rPr>
        <w:t>STATISTICS</w:t>
      </w:r>
    </w:p>
    <w:p w14:paraId="49E40D61" w14:textId="77777777" w:rsidR="0073271C" w:rsidRDefault="0073271C" w:rsidP="0073271C">
      <w:pPr>
        <w:pStyle w:val="ListParagraph"/>
        <w:numPr>
          <w:ilvl w:val="1"/>
          <w:numId w:val="1"/>
        </w:numPr>
        <w:rPr>
          <w:bCs/>
        </w:rPr>
      </w:pPr>
      <w:r w:rsidRPr="00CA0B15">
        <w:rPr>
          <w:bCs/>
        </w:rPr>
        <w:t xml:space="preserve">The summary below sets out the number of </w:t>
      </w:r>
      <w:r w:rsidR="007C08EC">
        <w:rPr>
          <w:bCs/>
        </w:rPr>
        <w:t xml:space="preserve">employment tribunal </w:t>
      </w:r>
      <w:r w:rsidRPr="00CA0B15">
        <w:rPr>
          <w:bCs/>
        </w:rPr>
        <w:t xml:space="preserve">claims received and finalised </w:t>
      </w:r>
      <w:r w:rsidR="00291A27">
        <w:rPr>
          <w:bCs/>
        </w:rPr>
        <w:t xml:space="preserve">within Cleveland </w:t>
      </w:r>
      <w:r w:rsidRPr="00CA0B15">
        <w:rPr>
          <w:bCs/>
        </w:rPr>
        <w:t>including total spend on cases finalised.</w:t>
      </w:r>
    </w:p>
    <w:p w14:paraId="4CE20ED1" w14:textId="77777777" w:rsidR="0073271C" w:rsidRPr="00CA0B15" w:rsidRDefault="0073271C" w:rsidP="0073271C">
      <w:pPr>
        <w:pStyle w:val="ListParagraph"/>
        <w:ind w:left="360"/>
        <w:rPr>
          <w:bCs/>
        </w:rPr>
      </w:pPr>
    </w:p>
    <w:p w14:paraId="175F33D5" w14:textId="77777777" w:rsidR="00171686" w:rsidRDefault="006E4E03" w:rsidP="00485DEE">
      <w:pPr>
        <w:pStyle w:val="ListParagraph"/>
        <w:numPr>
          <w:ilvl w:val="2"/>
          <w:numId w:val="1"/>
        </w:numPr>
        <w:rPr>
          <w:bCs/>
        </w:rPr>
      </w:pPr>
      <w:r>
        <w:rPr>
          <w:bCs/>
        </w:rPr>
        <w:t>2</w:t>
      </w:r>
      <w:r w:rsidR="00171686">
        <w:rPr>
          <w:bCs/>
        </w:rPr>
        <w:t xml:space="preserve"> Employment Tribunal claims received 1/9/2020 to 28/2/2021 (including ACAS early reconciliation matters).</w:t>
      </w:r>
    </w:p>
    <w:p w14:paraId="3A5425EE" w14:textId="77777777" w:rsidR="00485DEE" w:rsidRPr="00FD366D" w:rsidRDefault="00171686" w:rsidP="00171686">
      <w:pPr>
        <w:pStyle w:val="ListParagraph"/>
        <w:rPr>
          <w:bCs/>
        </w:rPr>
      </w:pPr>
      <w:r>
        <w:rPr>
          <w:bCs/>
        </w:rPr>
        <w:t>This is co</w:t>
      </w:r>
      <w:r w:rsidR="00A34CA5">
        <w:rPr>
          <w:bCs/>
        </w:rPr>
        <w:t>mpared to the last period, with</w:t>
      </w:r>
      <w:r>
        <w:rPr>
          <w:bCs/>
        </w:rPr>
        <w:t xml:space="preserve"> </w:t>
      </w:r>
      <w:r w:rsidR="00F432DF">
        <w:rPr>
          <w:bCs/>
        </w:rPr>
        <w:t>8</w:t>
      </w:r>
      <w:r w:rsidR="0073271C" w:rsidRPr="00CA0B15">
        <w:rPr>
          <w:bCs/>
        </w:rPr>
        <w:t xml:space="preserve"> E</w:t>
      </w:r>
      <w:r w:rsidR="00AB1505">
        <w:rPr>
          <w:bCs/>
        </w:rPr>
        <w:t xml:space="preserve">mployment </w:t>
      </w:r>
      <w:r w:rsidR="0073271C" w:rsidRPr="00CA0B15">
        <w:rPr>
          <w:bCs/>
        </w:rPr>
        <w:t>T</w:t>
      </w:r>
      <w:r w:rsidR="00AB1505">
        <w:rPr>
          <w:bCs/>
        </w:rPr>
        <w:t xml:space="preserve">ribunal </w:t>
      </w:r>
      <w:r w:rsidR="0073271C" w:rsidRPr="00CA0B15">
        <w:rPr>
          <w:bCs/>
        </w:rPr>
        <w:t>cl</w:t>
      </w:r>
      <w:r w:rsidR="00A4660B">
        <w:rPr>
          <w:bCs/>
        </w:rPr>
        <w:t xml:space="preserve">aims received </w:t>
      </w:r>
      <w:r w:rsidR="007B1C94">
        <w:rPr>
          <w:bCs/>
        </w:rPr>
        <w:t xml:space="preserve">(including </w:t>
      </w:r>
      <w:r w:rsidR="004F6622">
        <w:rPr>
          <w:bCs/>
        </w:rPr>
        <w:t xml:space="preserve">ACAS </w:t>
      </w:r>
      <w:r w:rsidR="007B1C94">
        <w:rPr>
          <w:bCs/>
        </w:rPr>
        <w:t xml:space="preserve">early reconciliation matters). </w:t>
      </w:r>
      <w:r w:rsidR="004F6622">
        <w:rPr>
          <w:bCs/>
        </w:rPr>
        <w:t xml:space="preserve"> </w:t>
      </w:r>
    </w:p>
    <w:p w14:paraId="493FF41A" w14:textId="77777777" w:rsidR="0073271C" w:rsidRDefault="00D71C89" w:rsidP="0073271C">
      <w:pPr>
        <w:pStyle w:val="ListParagraph"/>
        <w:numPr>
          <w:ilvl w:val="2"/>
          <w:numId w:val="1"/>
        </w:numPr>
        <w:rPr>
          <w:bCs/>
        </w:rPr>
      </w:pPr>
      <w:r>
        <w:rPr>
          <w:bCs/>
        </w:rPr>
        <w:t>0</w:t>
      </w:r>
      <w:r w:rsidR="00171686">
        <w:rPr>
          <w:bCs/>
        </w:rPr>
        <w:t xml:space="preserve"> Employment Tribunal claims finalised 1/9/2020 to 28/2/2021. This is co</w:t>
      </w:r>
      <w:r w:rsidR="00A34CA5">
        <w:rPr>
          <w:bCs/>
        </w:rPr>
        <w:t>mpared to the last period, with</w:t>
      </w:r>
      <w:r w:rsidR="00171686">
        <w:rPr>
          <w:bCs/>
        </w:rPr>
        <w:t xml:space="preserve"> </w:t>
      </w:r>
      <w:r w:rsidR="00F432DF">
        <w:rPr>
          <w:bCs/>
        </w:rPr>
        <w:t xml:space="preserve">0 </w:t>
      </w:r>
      <w:r w:rsidR="0073271C" w:rsidRPr="00CA0B15">
        <w:rPr>
          <w:bCs/>
        </w:rPr>
        <w:t>E</w:t>
      </w:r>
      <w:r w:rsidR="00AB1505">
        <w:rPr>
          <w:bCs/>
        </w:rPr>
        <w:t xml:space="preserve">mployment </w:t>
      </w:r>
      <w:r w:rsidR="0073271C" w:rsidRPr="00CA0B15">
        <w:rPr>
          <w:bCs/>
        </w:rPr>
        <w:t>T</w:t>
      </w:r>
      <w:r w:rsidR="00AB1505">
        <w:rPr>
          <w:bCs/>
        </w:rPr>
        <w:t xml:space="preserve">ribunal </w:t>
      </w:r>
      <w:r w:rsidR="0073271C" w:rsidRPr="00CA0B15">
        <w:rPr>
          <w:bCs/>
        </w:rPr>
        <w:t xml:space="preserve">claims finalised </w:t>
      </w:r>
      <w:r w:rsidR="0073271C">
        <w:rPr>
          <w:bCs/>
        </w:rPr>
        <w:t>(including withdrawn claims).</w:t>
      </w:r>
      <w:r w:rsidR="008C5EE3">
        <w:rPr>
          <w:bCs/>
        </w:rPr>
        <w:t xml:space="preserve"> </w:t>
      </w:r>
    </w:p>
    <w:p w14:paraId="35845EB7" w14:textId="77777777" w:rsidR="0073271C" w:rsidRDefault="0073271C" w:rsidP="0073271C">
      <w:pPr>
        <w:pStyle w:val="ListParagraph"/>
        <w:ind w:left="360"/>
        <w:rPr>
          <w:bCs/>
        </w:rPr>
      </w:pPr>
    </w:p>
    <w:p w14:paraId="32326115" w14:textId="77777777" w:rsidR="0073271C" w:rsidRDefault="009A4387" w:rsidP="0073271C">
      <w:pPr>
        <w:pStyle w:val="ListParagraph"/>
        <w:numPr>
          <w:ilvl w:val="1"/>
          <w:numId w:val="1"/>
        </w:numPr>
        <w:rPr>
          <w:bCs/>
        </w:rPr>
      </w:pPr>
      <w:r>
        <w:rPr>
          <w:bCs/>
        </w:rPr>
        <w:t xml:space="preserve">Total spend on </w:t>
      </w:r>
      <w:r w:rsidR="00AA71BD">
        <w:rPr>
          <w:bCs/>
        </w:rPr>
        <w:t>Employment T</w:t>
      </w:r>
      <w:r>
        <w:rPr>
          <w:bCs/>
        </w:rPr>
        <w:t>ribunal claims</w:t>
      </w:r>
      <w:r w:rsidR="00A4660B">
        <w:rPr>
          <w:bCs/>
        </w:rPr>
        <w:t xml:space="preserve"> finalised </w:t>
      </w:r>
      <w:r w:rsidR="00171686">
        <w:rPr>
          <w:bCs/>
        </w:rPr>
        <w:t>1/9/2021 to 28/2/2021.</w:t>
      </w:r>
      <w:r w:rsidR="0073271C" w:rsidRPr="00CA0B15">
        <w:rPr>
          <w:bCs/>
        </w:rPr>
        <w:t xml:space="preserve"> (costs and damages) - </w:t>
      </w:r>
      <w:r w:rsidR="00F432DF">
        <w:rPr>
          <w:bCs/>
        </w:rPr>
        <w:t>£0</w:t>
      </w:r>
      <w:r w:rsidR="00171686">
        <w:rPr>
          <w:bCs/>
        </w:rPr>
        <w:t xml:space="preserve">. This is compared to the last period where total spend on finalised claims was £0. </w:t>
      </w:r>
    </w:p>
    <w:p w14:paraId="51C32ADC" w14:textId="77777777" w:rsidR="00D94FFE" w:rsidRDefault="00D94FFE" w:rsidP="0073271C">
      <w:pPr>
        <w:pStyle w:val="ListParagraph"/>
        <w:numPr>
          <w:ilvl w:val="1"/>
          <w:numId w:val="1"/>
        </w:numPr>
        <w:rPr>
          <w:bCs/>
        </w:rPr>
      </w:pPr>
      <w:r>
        <w:rPr>
          <w:bCs/>
        </w:rPr>
        <w:t xml:space="preserve">Learning from employment matters are shared via a professional legal </w:t>
      </w:r>
      <w:r w:rsidR="00F04B5A">
        <w:rPr>
          <w:bCs/>
        </w:rPr>
        <w:t xml:space="preserve">digest, the Knowledge </w:t>
      </w:r>
      <w:r w:rsidR="00A87671">
        <w:rPr>
          <w:bCs/>
        </w:rPr>
        <w:t xml:space="preserve">  </w:t>
      </w:r>
      <w:r w:rsidR="00F04B5A">
        <w:rPr>
          <w:bCs/>
        </w:rPr>
        <w:t>Hub and via case outcomes for the specific clients.</w:t>
      </w:r>
    </w:p>
    <w:p w14:paraId="475017A8" w14:textId="77777777" w:rsidR="00D958F8" w:rsidRDefault="00FD366D" w:rsidP="00FD366D">
      <w:pPr>
        <w:rPr>
          <w:b/>
          <w:bCs/>
        </w:rPr>
      </w:pPr>
      <w:r w:rsidRPr="00ED6592">
        <w:rPr>
          <w:b/>
          <w:bCs/>
        </w:rPr>
        <w:t>Ongoing Employment Tribunals</w:t>
      </w:r>
    </w:p>
    <w:p w14:paraId="66A86AC9" w14:textId="77777777" w:rsidR="00A87671" w:rsidRDefault="00BF7D64" w:rsidP="00AC64F8">
      <w:pPr>
        <w:ind w:left="720" w:hanging="720"/>
        <w:rPr>
          <w:b/>
          <w:bCs/>
        </w:rPr>
      </w:pPr>
      <w:r>
        <w:rPr>
          <w:bCs/>
        </w:rPr>
        <w:t xml:space="preserve">1.13 </w:t>
      </w:r>
      <w:r>
        <w:rPr>
          <w:bCs/>
        </w:rPr>
        <w:tab/>
      </w:r>
      <w:r w:rsidR="00FD366D">
        <w:rPr>
          <w:bCs/>
        </w:rPr>
        <w:t>Evolve Employment Tea</w:t>
      </w:r>
      <w:r w:rsidR="0095509A">
        <w:rPr>
          <w:bCs/>
        </w:rPr>
        <w:t xml:space="preserve">m </w:t>
      </w:r>
      <w:proofErr w:type="gramStart"/>
      <w:r w:rsidR="0095509A">
        <w:rPr>
          <w:bCs/>
        </w:rPr>
        <w:t>as a whole are</w:t>
      </w:r>
      <w:proofErr w:type="gramEnd"/>
      <w:r w:rsidR="0095509A">
        <w:rPr>
          <w:bCs/>
        </w:rPr>
        <w:t xml:space="preserve"> dealing with 13 on-going </w:t>
      </w:r>
      <w:r w:rsidR="00FD366D">
        <w:rPr>
          <w:bCs/>
        </w:rPr>
        <w:t xml:space="preserve">Employment Tribunal Claims </w:t>
      </w:r>
      <w:r w:rsidR="00D958F8">
        <w:rPr>
          <w:bCs/>
        </w:rPr>
        <w:t xml:space="preserve">(claims that have progressed beyond early conciliation period) </w:t>
      </w:r>
      <w:r w:rsidR="00FD366D">
        <w:rPr>
          <w:bCs/>
        </w:rPr>
        <w:t>a</w:t>
      </w:r>
      <w:r w:rsidR="0095509A">
        <w:rPr>
          <w:bCs/>
        </w:rPr>
        <w:t>c</w:t>
      </w:r>
      <w:r w:rsidR="00AC64F8">
        <w:rPr>
          <w:bCs/>
        </w:rPr>
        <w:t>ross the three</w:t>
      </w:r>
      <w:r w:rsidR="00ED6592">
        <w:rPr>
          <w:bCs/>
        </w:rPr>
        <w:t xml:space="preserve"> </w:t>
      </w:r>
      <w:r w:rsidR="00D24A0F">
        <w:rPr>
          <w:bCs/>
        </w:rPr>
        <w:t>forces</w:t>
      </w:r>
      <w:r w:rsidR="00ED6592">
        <w:rPr>
          <w:bCs/>
        </w:rPr>
        <w:t xml:space="preserve"> (7</w:t>
      </w:r>
      <w:r w:rsidR="005D35BA">
        <w:rPr>
          <w:bCs/>
        </w:rPr>
        <w:t xml:space="preserve"> within</w:t>
      </w:r>
      <w:r w:rsidR="0095509A">
        <w:rPr>
          <w:bCs/>
        </w:rPr>
        <w:t xml:space="preserve"> Cleveland</w:t>
      </w:r>
      <w:r w:rsidR="00ED6592">
        <w:rPr>
          <w:bCs/>
        </w:rPr>
        <w:t xml:space="preserve"> as at 28</w:t>
      </w:r>
      <w:r w:rsidR="00ED6592" w:rsidRPr="00ED6592">
        <w:rPr>
          <w:bCs/>
          <w:vertAlign w:val="superscript"/>
        </w:rPr>
        <w:t>th</w:t>
      </w:r>
      <w:r w:rsidR="00ED6592">
        <w:rPr>
          <w:bCs/>
        </w:rPr>
        <w:t xml:space="preserve"> May 2021</w:t>
      </w:r>
      <w:r w:rsidR="00D24A0F">
        <w:rPr>
          <w:bCs/>
        </w:rPr>
        <w:t>)</w:t>
      </w:r>
      <w:r w:rsidR="007E4430">
        <w:rPr>
          <w:bCs/>
        </w:rPr>
        <w:t xml:space="preserve">. </w:t>
      </w:r>
      <w:r w:rsidR="00ED6592">
        <w:rPr>
          <w:bCs/>
        </w:rPr>
        <w:t>This is in comparison to the last report of 20</w:t>
      </w:r>
      <w:r w:rsidR="00ED6592" w:rsidRPr="00ED6592">
        <w:rPr>
          <w:bCs/>
          <w:vertAlign w:val="superscript"/>
        </w:rPr>
        <w:t>th</w:t>
      </w:r>
      <w:r w:rsidR="00ED6592">
        <w:rPr>
          <w:bCs/>
        </w:rPr>
        <w:t xml:space="preserve"> November 2021, where we were dealing with 13 on-going employment trib</w:t>
      </w:r>
      <w:r w:rsidR="00D24A0F">
        <w:rPr>
          <w:bCs/>
        </w:rPr>
        <w:t>unal claims (6 within Cleveland</w:t>
      </w:r>
      <w:r w:rsidR="00ED6592">
        <w:rPr>
          <w:bCs/>
        </w:rPr>
        <w:t>).</w:t>
      </w:r>
      <w:r w:rsidR="00AC64F8">
        <w:rPr>
          <w:bCs/>
        </w:rPr>
        <w:t xml:space="preserve"> Please note that these are claims against the Chief Constable and do not include any claims against PCC/PFCC/PCVC. </w:t>
      </w:r>
    </w:p>
    <w:p w14:paraId="66158A4B" w14:textId="77777777" w:rsidR="00AC64F8" w:rsidRPr="00AC64F8" w:rsidRDefault="00AC64F8" w:rsidP="00AC64F8">
      <w:pPr>
        <w:ind w:left="720" w:hanging="720"/>
        <w:rPr>
          <w:b/>
          <w:bCs/>
        </w:rPr>
      </w:pPr>
    </w:p>
    <w:p w14:paraId="636740F3" w14:textId="77777777" w:rsidR="00C627B1" w:rsidRDefault="0073271C" w:rsidP="00C627B1">
      <w:pPr>
        <w:rPr>
          <w:b/>
          <w:sz w:val="28"/>
          <w:szCs w:val="28"/>
        </w:rPr>
      </w:pPr>
      <w:r>
        <w:rPr>
          <w:b/>
          <w:sz w:val="28"/>
          <w:szCs w:val="28"/>
        </w:rPr>
        <w:t>CIVIL CLAIM STATISTICS</w:t>
      </w:r>
    </w:p>
    <w:p w14:paraId="0B33A517" w14:textId="77777777" w:rsidR="00C627B1" w:rsidRPr="00367B2C" w:rsidRDefault="00C627B1" w:rsidP="00367B2C">
      <w:pPr>
        <w:jc w:val="both"/>
        <w:rPr>
          <w:b/>
        </w:rPr>
      </w:pPr>
      <w:r w:rsidRPr="0039221F">
        <w:rPr>
          <w:b/>
        </w:rPr>
        <w:t>Number &amp; Types of Claims Received</w:t>
      </w:r>
      <w:r w:rsidRPr="00367B2C">
        <w:rPr>
          <w:b/>
        </w:rPr>
        <w:t xml:space="preserve"> </w:t>
      </w:r>
    </w:p>
    <w:p w14:paraId="57510BAA" w14:textId="77777777" w:rsidR="00C627B1" w:rsidRDefault="00C627B1" w:rsidP="00BF7D64">
      <w:pPr>
        <w:pStyle w:val="ListParagraph"/>
        <w:numPr>
          <w:ilvl w:val="1"/>
          <w:numId w:val="6"/>
        </w:numPr>
        <w:jc w:val="both"/>
      </w:pPr>
      <w:r>
        <w:t xml:space="preserve">There were </w:t>
      </w:r>
      <w:r w:rsidR="0054028B">
        <w:t>42</w:t>
      </w:r>
      <w:r>
        <w:t xml:space="preserve"> cla</w:t>
      </w:r>
      <w:r w:rsidR="00B935C0">
        <w:t>ims received during the period. This is</w:t>
      </w:r>
      <w:r w:rsidR="00005A19">
        <w:t xml:space="preserve"> compared to the previous</w:t>
      </w:r>
      <w:r w:rsidR="0054028B">
        <w:t xml:space="preserve"> period, in which there were 38</w:t>
      </w:r>
      <w:r w:rsidR="00B935C0">
        <w:t xml:space="preserve"> </w:t>
      </w:r>
      <w:r w:rsidR="00005A19">
        <w:t xml:space="preserve">claims received. </w:t>
      </w:r>
    </w:p>
    <w:p w14:paraId="5B396E52" w14:textId="77777777" w:rsidR="00C627B1" w:rsidRDefault="00C627B1" w:rsidP="00C627B1">
      <w:pPr>
        <w:pStyle w:val="ListParagraph"/>
      </w:pPr>
    </w:p>
    <w:p w14:paraId="454A1967" w14:textId="77777777" w:rsidR="00C627B1" w:rsidRDefault="00C627B1" w:rsidP="00C627B1">
      <w:pPr>
        <w:pStyle w:val="ListParagraph"/>
      </w:pPr>
      <w:r>
        <w:rPr>
          <w:noProof/>
          <w:lang w:eastAsia="en-GB"/>
        </w:rPr>
        <w:drawing>
          <wp:inline distT="0" distB="0" distL="0" distR="0" wp14:anchorId="03FD72BF" wp14:editId="2D27C0E9">
            <wp:extent cx="5509260" cy="3200400"/>
            <wp:effectExtent l="0" t="0" r="15240" b="19050"/>
            <wp:docPr id="1" name="Chart 1" title="Claims Recieved "/>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46BD678C" w14:textId="77777777" w:rsidR="00C627B1" w:rsidRDefault="00C627B1" w:rsidP="00C627B1">
      <w:pPr>
        <w:pStyle w:val="ListParagraph"/>
      </w:pPr>
    </w:p>
    <w:p w14:paraId="6B3A4B9C" w14:textId="77777777" w:rsidR="00C627B1" w:rsidRDefault="00C627B1" w:rsidP="00C627B1">
      <w:pPr>
        <w:pStyle w:val="ListParagraph"/>
      </w:pPr>
    </w:p>
    <w:p w14:paraId="36739323" w14:textId="77777777" w:rsidR="00C627B1" w:rsidRDefault="00C627B1" w:rsidP="00BF7D64">
      <w:pPr>
        <w:pStyle w:val="ListParagraph"/>
        <w:numPr>
          <w:ilvl w:val="1"/>
          <w:numId w:val="6"/>
        </w:numPr>
        <w:jc w:val="both"/>
      </w:pPr>
      <w:r>
        <w:t xml:space="preserve">Employers Liability claims are those made by Force employees and police officers following injuries sustained at work. </w:t>
      </w:r>
    </w:p>
    <w:p w14:paraId="0AE07C1C" w14:textId="77777777" w:rsidR="00C627B1" w:rsidRDefault="00C627B1" w:rsidP="00507B2F">
      <w:pPr>
        <w:pStyle w:val="ListParagraph"/>
        <w:jc w:val="both"/>
      </w:pPr>
    </w:p>
    <w:p w14:paraId="61060234" w14:textId="77777777" w:rsidR="00C627B1" w:rsidRDefault="00C627B1" w:rsidP="00BF7D64">
      <w:pPr>
        <w:pStyle w:val="ListParagraph"/>
        <w:numPr>
          <w:ilvl w:val="1"/>
          <w:numId w:val="6"/>
        </w:numPr>
        <w:jc w:val="both"/>
      </w:pPr>
      <w:r>
        <w:t>Public Liability claims include those made by members of the public who are accidentally injured or whose property is accidentally damaged / lost as a result of police activities. They also include those made by arrested persons alleging false imprisonment, assault, malicious prosecution, misfeasance and trespass to property. (This is not an exhaustive list.)</w:t>
      </w:r>
    </w:p>
    <w:p w14:paraId="3E8F8265" w14:textId="77777777" w:rsidR="00C627B1" w:rsidRDefault="00C627B1" w:rsidP="00507B2F">
      <w:pPr>
        <w:pStyle w:val="ListParagraph"/>
        <w:jc w:val="both"/>
      </w:pPr>
    </w:p>
    <w:p w14:paraId="228A400C" w14:textId="77777777" w:rsidR="00C627B1" w:rsidRDefault="00C627B1" w:rsidP="00BF7D64">
      <w:pPr>
        <w:pStyle w:val="ListParagraph"/>
        <w:numPr>
          <w:ilvl w:val="1"/>
          <w:numId w:val="6"/>
        </w:numPr>
        <w:jc w:val="both"/>
      </w:pPr>
      <w:r>
        <w:t xml:space="preserve">Motor Liability claims are those made by members of the public and police officers following damage and injuries sustained in road accidents involving a police vehicle. </w:t>
      </w:r>
    </w:p>
    <w:p w14:paraId="2CC7E0A8" w14:textId="77777777" w:rsidR="00C627B1" w:rsidRDefault="00C627B1" w:rsidP="00507B2F">
      <w:pPr>
        <w:pStyle w:val="ListParagraph"/>
        <w:jc w:val="both"/>
      </w:pPr>
    </w:p>
    <w:p w14:paraId="0B024DC6" w14:textId="77777777" w:rsidR="00C627B1" w:rsidRDefault="00C627B1" w:rsidP="00BF7D64">
      <w:pPr>
        <w:pStyle w:val="ListParagraph"/>
        <w:numPr>
          <w:ilvl w:val="1"/>
          <w:numId w:val="6"/>
        </w:numPr>
        <w:jc w:val="both"/>
      </w:pPr>
      <w:r>
        <w:t xml:space="preserve">Non tribunal employment matters </w:t>
      </w:r>
      <w:r w:rsidR="004750D0">
        <w:t xml:space="preserve">(NTEM) </w:t>
      </w:r>
      <w:r>
        <w:t xml:space="preserve">are those claims made by police officers for pay, overtime and other allowances which they believe should have been paid during their service. </w:t>
      </w:r>
    </w:p>
    <w:p w14:paraId="726E5601" w14:textId="77777777" w:rsidR="00C627B1" w:rsidRDefault="00C627B1" w:rsidP="00507B2F">
      <w:pPr>
        <w:pStyle w:val="ListParagraph"/>
        <w:jc w:val="both"/>
      </w:pPr>
    </w:p>
    <w:p w14:paraId="0DE66398" w14:textId="77777777" w:rsidR="00C627B1" w:rsidRDefault="00C627B1" w:rsidP="00BF7D64">
      <w:pPr>
        <w:pStyle w:val="ListParagraph"/>
        <w:numPr>
          <w:ilvl w:val="1"/>
          <w:numId w:val="6"/>
        </w:numPr>
        <w:jc w:val="both"/>
      </w:pPr>
      <w:r>
        <w:t xml:space="preserve">The time limit for bringing claims involving injury is three years and, for those not involving injury, it is six years. The Court can sometimes extend the time limit. </w:t>
      </w:r>
    </w:p>
    <w:p w14:paraId="5A87822D" w14:textId="77777777" w:rsidR="00C627B1" w:rsidRDefault="00C627B1" w:rsidP="00507B2F">
      <w:pPr>
        <w:pStyle w:val="ListParagraph"/>
        <w:jc w:val="both"/>
      </w:pPr>
    </w:p>
    <w:p w14:paraId="1B99EEE3" w14:textId="77777777" w:rsidR="00C627B1" w:rsidRDefault="00C627B1" w:rsidP="00BF7D64">
      <w:pPr>
        <w:pStyle w:val="ListParagraph"/>
        <w:numPr>
          <w:ilvl w:val="1"/>
          <w:numId w:val="6"/>
        </w:numPr>
        <w:jc w:val="both"/>
      </w:pPr>
      <w:r>
        <w:t xml:space="preserve">The following Chart notes how many claims have been received during the period and the </w:t>
      </w:r>
      <w:r w:rsidRPr="0039221F">
        <w:t>incident date for each claim.</w:t>
      </w:r>
      <w:r>
        <w:t xml:space="preserve"> Please note that where claims for long term injuries such as post-traumatic stress disorder or noise-induced hearing loss, the date of diagnosis has been recorded as the incident date.</w:t>
      </w:r>
    </w:p>
    <w:p w14:paraId="7B6E3B93" w14:textId="77777777" w:rsidR="00DC30A2" w:rsidRDefault="00DC30A2" w:rsidP="00507B2F">
      <w:pPr>
        <w:pStyle w:val="ListParagraph"/>
        <w:jc w:val="both"/>
      </w:pPr>
    </w:p>
    <w:p w14:paraId="4EF070AF" w14:textId="77777777" w:rsidR="00C627B1" w:rsidRDefault="00C627B1" w:rsidP="00C627B1">
      <w:pPr>
        <w:ind w:left="360"/>
      </w:pPr>
      <w:r>
        <w:rPr>
          <w:noProof/>
          <w:lang w:eastAsia="en-GB"/>
        </w:rPr>
        <w:drawing>
          <wp:inline distT="0" distB="0" distL="0" distR="0" wp14:anchorId="16B40CA2" wp14:editId="14555A74">
            <wp:extent cx="5480050" cy="2241550"/>
            <wp:effectExtent l="0" t="0" r="6350" b="635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791FD432" w14:textId="77777777" w:rsidR="00367B2C" w:rsidRDefault="004E2A58" w:rsidP="00A87671">
      <w:pPr>
        <w:pStyle w:val="ListParagraph"/>
        <w:ind w:left="1080"/>
        <w:jc w:val="both"/>
        <w:rPr>
          <w:i/>
        </w:rPr>
      </w:pPr>
      <w:r w:rsidRPr="008C5EE3">
        <w:rPr>
          <w:i/>
        </w:rPr>
        <w:t xml:space="preserve">Note – </w:t>
      </w:r>
      <w:r w:rsidR="001E72A4">
        <w:rPr>
          <w:i/>
        </w:rPr>
        <w:t>one PL</w:t>
      </w:r>
      <w:r w:rsidR="00083855">
        <w:rPr>
          <w:i/>
        </w:rPr>
        <w:t xml:space="preserve"> matter</w:t>
      </w:r>
      <w:r w:rsidR="008C5EE3" w:rsidRPr="008C5EE3">
        <w:rPr>
          <w:i/>
        </w:rPr>
        <w:t xml:space="preserve"> relate to various incidents therefore Incident Dat</w:t>
      </w:r>
      <w:r w:rsidR="008C5EE3">
        <w:rPr>
          <w:i/>
        </w:rPr>
        <w:t>es detailed</w:t>
      </w:r>
      <w:r w:rsidR="008C5EE3" w:rsidRPr="008C5EE3">
        <w:rPr>
          <w:i/>
        </w:rPr>
        <w:t xml:space="preserve"> above relate to </w:t>
      </w:r>
      <w:r w:rsidR="008C5EE3">
        <w:rPr>
          <w:i/>
        </w:rPr>
        <w:t>date of</w:t>
      </w:r>
      <w:r w:rsidR="00083855">
        <w:rPr>
          <w:i/>
        </w:rPr>
        <w:t xml:space="preserve"> first incident (</w:t>
      </w:r>
      <w:r w:rsidR="001E72A4">
        <w:rPr>
          <w:i/>
        </w:rPr>
        <w:t>2020</w:t>
      </w:r>
      <w:r w:rsidR="008C5EE3" w:rsidRPr="008C5EE3">
        <w:rPr>
          <w:i/>
        </w:rPr>
        <w:t>)</w:t>
      </w:r>
      <w:r w:rsidR="008C5EE3">
        <w:rPr>
          <w:i/>
        </w:rPr>
        <w:t>.</w:t>
      </w:r>
    </w:p>
    <w:p w14:paraId="551C6E36" w14:textId="77777777" w:rsidR="007F5445" w:rsidRPr="00617BC0" w:rsidRDefault="007F5445" w:rsidP="00617BC0">
      <w:pPr>
        <w:jc w:val="both"/>
        <w:rPr>
          <w:b/>
        </w:rPr>
      </w:pPr>
    </w:p>
    <w:p w14:paraId="3EBCE4C2" w14:textId="77777777" w:rsidR="00617BC0" w:rsidRDefault="00C627B1" w:rsidP="00617BC0">
      <w:pPr>
        <w:ind w:firstLine="360"/>
        <w:rPr>
          <w:b/>
        </w:rPr>
      </w:pPr>
      <w:r w:rsidRPr="00C21245">
        <w:rPr>
          <w:b/>
        </w:rPr>
        <w:t>Numbers of Claims Finalised &amp; Results</w:t>
      </w:r>
      <w:r>
        <w:rPr>
          <w:b/>
        </w:rPr>
        <w:t xml:space="preserve"> </w:t>
      </w:r>
    </w:p>
    <w:p w14:paraId="6FA0C9D4" w14:textId="77777777" w:rsidR="009E230F" w:rsidRDefault="00C627B1" w:rsidP="00552C24">
      <w:pPr>
        <w:pStyle w:val="ListParagraph"/>
        <w:numPr>
          <w:ilvl w:val="1"/>
          <w:numId w:val="6"/>
        </w:numPr>
        <w:jc w:val="both"/>
      </w:pPr>
      <w:r w:rsidRPr="00215B18">
        <w:t xml:space="preserve">Of </w:t>
      </w:r>
      <w:r w:rsidRPr="009114FF">
        <w:t xml:space="preserve">the </w:t>
      </w:r>
      <w:r w:rsidR="00C97995">
        <w:t>78</w:t>
      </w:r>
      <w:r w:rsidRPr="00215B18">
        <w:t xml:space="preserve"> cases finalised during the period</w:t>
      </w:r>
      <w:r w:rsidRPr="009F0515">
        <w:t>,</w:t>
      </w:r>
      <w:r w:rsidR="00D06DAC" w:rsidRPr="009F0515">
        <w:t xml:space="preserve"> </w:t>
      </w:r>
      <w:r w:rsidR="00C97995">
        <w:t>76</w:t>
      </w:r>
      <w:r w:rsidR="004E2A58">
        <w:t xml:space="preserve"> </w:t>
      </w:r>
      <w:r w:rsidRPr="00215B18">
        <w:t>were successfully defended/withdrawn (</w:t>
      </w:r>
      <w:r w:rsidR="00791E38">
        <w:t>97</w:t>
      </w:r>
      <w:r w:rsidRPr="00367B2C">
        <w:rPr>
          <w:b/>
        </w:rPr>
        <w:t>%</w:t>
      </w:r>
      <w:r w:rsidRPr="00215B18">
        <w:t xml:space="preserve">). </w:t>
      </w:r>
    </w:p>
    <w:p w14:paraId="066BC4AD" w14:textId="77777777" w:rsidR="009E230F" w:rsidRDefault="009E230F" w:rsidP="009E230F">
      <w:pPr>
        <w:pStyle w:val="ListParagraph"/>
        <w:ind w:left="375"/>
        <w:jc w:val="both"/>
      </w:pPr>
    </w:p>
    <w:p w14:paraId="6F64E1A8" w14:textId="77777777" w:rsidR="00552C24" w:rsidRDefault="00C627B1" w:rsidP="009E230F">
      <w:pPr>
        <w:pStyle w:val="ListParagraph"/>
        <w:ind w:left="375"/>
        <w:jc w:val="both"/>
      </w:pPr>
      <w:r w:rsidRPr="00215B18">
        <w:t>This is to be compared with</w:t>
      </w:r>
      <w:r w:rsidR="004D5912">
        <w:t xml:space="preserve"> the last period where 14</w:t>
      </w:r>
      <w:r w:rsidR="00CA4F5C">
        <w:t xml:space="preserve"> cases </w:t>
      </w:r>
      <w:r w:rsidR="004E2A58">
        <w:t xml:space="preserve">were finalised </w:t>
      </w:r>
      <w:r w:rsidR="004D5912">
        <w:t>and 6</w:t>
      </w:r>
      <w:r w:rsidR="00D06DAC">
        <w:t xml:space="preserve"> </w:t>
      </w:r>
      <w:r w:rsidR="00CA4F5C">
        <w:t>were successfully defended/withdrawn (</w:t>
      </w:r>
      <w:r w:rsidR="004D5912">
        <w:t>43</w:t>
      </w:r>
      <w:r w:rsidR="00CA4F5C">
        <w:t xml:space="preserve">%). </w:t>
      </w:r>
    </w:p>
    <w:p w14:paraId="0C31EECF" w14:textId="77777777" w:rsidR="007F5445" w:rsidRDefault="007F5445" w:rsidP="007F5445">
      <w:pPr>
        <w:pStyle w:val="ListParagraph"/>
        <w:ind w:left="375"/>
        <w:jc w:val="both"/>
      </w:pPr>
    </w:p>
    <w:p w14:paraId="72A32994" w14:textId="77777777" w:rsidR="004E2A58" w:rsidRDefault="00A75CBA" w:rsidP="00552C24">
      <w:pPr>
        <w:pStyle w:val="ListParagraph"/>
        <w:ind w:left="375"/>
        <w:jc w:val="both"/>
        <w:rPr>
          <w:iCs/>
        </w:rPr>
      </w:pPr>
      <w:r>
        <w:rPr>
          <w:iCs/>
        </w:rPr>
        <w:t>T</w:t>
      </w:r>
      <w:r w:rsidR="0085163D" w:rsidRPr="00A75CBA">
        <w:rPr>
          <w:iCs/>
        </w:rPr>
        <w:t>he COVID pandemic has had a significant impa</w:t>
      </w:r>
      <w:r w:rsidR="00BB1D3E" w:rsidRPr="00A75CBA">
        <w:rPr>
          <w:iCs/>
        </w:rPr>
        <w:t>ct on</w:t>
      </w:r>
      <w:r w:rsidR="0085163D" w:rsidRPr="00A75CBA">
        <w:rPr>
          <w:iCs/>
        </w:rPr>
        <w:t xml:space="preserve"> cases being able to progress generally and through the Courts either for case management or listing of trials.</w:t>
      </w:r>
      <w:r>
        <w:rPr>
          <w:iCs/>
        </w:rPr>
        <w:t xml:space="preserve"> </w:t>
      </w:r>
      <w:r w:rsidR="00F55E38">
        <w:rPr>
          <w:iCs/>
        </w:rPr>
        <w:t xml:space="preserve">This may differ in the next </w:t>
      </w:r>
      <w:proofErr w:type="gramStart"/>
      <w:r w:rsidR="00F55E38">
        <w:rPr>
          <w:iCs/>
        </w:rPr>
        <w:t>6 month</w:t>
      </w:r>
      <w:proofErr w:type="gramEnd"/>
      <w:r w:rsidR="00F55E38">
        <w:rPr>
          <w:iCs/>
        </w:rPr>
        <w:t xml:space="preserve"> report as the restrictions begin to ease. </w:t>
      </w:r>
    </w:p>
    <w:p w14:paraId="787EFD50" w14:textId="77777777" w:rsidR="00794387" w:rsidRDefault="00794387" w:rsidP="00552C24">
      <w:pPr>
        <w:pStyle w:val="ListParagraph"/>
        <w:ind w:left="375"/>
        <w:jc w:val="both"/>
        <w:rPr>
          <w:iCs/>
        </w:rPr>
      </w:pPr>
    </w:p>
    <w:p w14:paraId="3AC8CB4B" w14:textId="77777777" w:rsidR="00794387" w:rsidRDefault="00794387" w:rsidP="00552C24">
      <w:pPr>
        <w:pStyle w:val="ListParagraph"/>
        <w:ind w:left="375"/>
        <w:jc w:val="both"/>
        <w:rPr>
          <w:iCs/>
        </w:rPr>
      </w:pPr>
    </w:p>
    <w:p w14:paraId="442BBF02" w14:textId="77777777" w:rsidR="00794387" w:rsidRDefault="00384AD1" w:rsidP="00552C24">
      <w:pPr>
        <w:pStyle w:val="ListParagraph"/>
        <w:ind w:left="375"/>
        <w:jc w:val="both"/>
        <w:rPr>
          <w:iCs/>
        </w:rPr>
      </w:pPr>
      <w:r>
        <w:rPr>
          <w:noProof/>
          <w:lang w:eastAsia="en-GB"/>
        </w:rPr>
        <w:drawing>
          <wp:inline distT="0" distB="0" distL="0" distR="0" wp14:anchorId="49A4A413" wp14:editId="4C373A3A">
            <wp:extent cx="5502302" cy="2083242"/>
            <wp:effectExtent l="0" t="0" r="22225" b="1270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5D4B837F" w14:textId="77777777" w:rsidR="00794387" w:rsidRDefault="00384AD1" w:rsidP="00552C24">
      <w:pPr>
        <w:pStyle w:val="ListParagraph"/>
        <w:ind w:left="375"/>
        <w:jc w:val="both"/>
      </w:pPr>
      <w:r>
        <w:rPr>
          <w:noProof/>
          <w:lang w:eastAsia="en-GB"/>
        </w:rPr>
        <w:drawing>
          <wp:inline distT="0" distB="0" distL="0" distR="0" wp14:anchorId="39644C0E" wp14:editId="57C698BD">
            <wp:extent cx="5530850" cy="2082800"/>
            <wp:effectExtent l="0" t="0" r="12700" b="1270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35007BD3" w14:textId="77777777" w:rsidR="00323192" w:rsidRPr="0085163D" w:rsidRDefault="00323192" w:rsidP="00552C24">
      <w:pPr>
        <w:pStyle w:val="ListParagraph"/>
        <w:ind w:left="375"/>
        <w:jc w:val="both"/>
      </w:pPr>
    </w:p>
    <w:p w14:paraId="6E9B1B93" w14:textId="77777777" w:rsidR="002C6CD7" w:rsidRDefault="002C6CD7" w:rsidP="00794387">
      <w:pPr>
        <w:pStyle w:val="ListParagraph"/>
        <w:ind w:left="360"/>
        <w:jc w:val="both"/>
      </w:pPr>
    </w:p>
    <w:p w14:paraId="4F7DD302" w14:textId="77777777" w:rsidR="002C6CD7" w:rsidRDefault="002C6CD7" w:rsidP="00207C8B">
      <w:pPr>
        <w:pStyle w:val="ListParagraph"/>
        <w:ind w:left="375"/>
      </w:pPr>
    </w:p>
    <w:p w14:paraId="2914D044" w14:textId="77777777" w:rsidR="00C627B1" w:rsidRDefault="00C627B1" w:rsidP="00BF7D64">
      <w:pPr>
        <w:pStyle w:val="ListParagraph"/>
        <w:numPr>
          <w:ilvl w:val="1"/>
          <w:numId w:val="6"/>
        </w:numPr>
      </w:pPr>
      <w:r>
        <w:t xml:space="preserve">In relation to </w:t>
      </w:r>
      <w:r w:rsidRPr="00E8426D">
        <w:t xml:space="preserve">the </w:t>
      </w:r>
      <w:r w:rsidR="002F75F4" w:rsidRPr="00E8426D">
        <w:t>2</w:t>
      </w:r>
      <w:r w:rsidR="007D72B0" w:rsidRPr="00E8426D">
        <w:t xml:space="preserve"> </w:t>
      </w:r>
      <w:r w:rsidRPr="00E8426D">
        <w:t>cases which were settle</w:t>
      </w:r>
      <w:r w:rsidR="00E8426D" w:rsidRPr="00E8426D">
        <w:t>d</w:t>
      </w:r>
      <w:r>
        <w:t>, the reasons for settlement were as follows:</w:t>
      </w:r>
    </w:p>
    <w:tbl>
      <w:tblPr>
        <w:tblStyle w:val="TableGrid"/>
        <w:tblW w:w="0" w:type="auto"/>
        <w:tblInd w:w="360" w:type="dxa"/>
        <w:tblLook w:val="04A0" w:firstRow="1" w:lastRow="0" w:firstColumn="1" w:lastColumn="0" w:noHBand="0" w:noVBand="1"/>
      </w:tblPr>
      <w:tblGrid>
        <w:gridCol w:w="6552"/>
        <w:gridCol w:w="2330"/>
      </w:tblGrid>
      <w:tr w:rsidR="00C627B1" w14:paraId="156CCEBC" w14:textId="77777777" w:rsidTr="00C627B1">
        <w:tc>
          <w:tcPr>
            <w:tcW w:w="6552" w:type="dxa"/>
            <w:tcBorders>
              <w:top w:val="single" w:sz="4" w:space="0" w:color="auto"/>
              <w:left w:val="single" w:sz="4" w:space="0" w:color="auto"/>
              <w:bottom w:val="single" w:sz="4" w:space="0" w:color="auto"/>
              <w:right w:val="single" w:sz="4" w:space="0" w:color="auto"/>
            </w:tcBorders>
            <w:hideMark/>
          </w:tcPr>
          <w:p w14:paraId="1E8680B2" w14:textId="77777777" w:rsidR="00C627B1" w:rsidRDefault="00C627B1">
            <w:pPr>
              <w:rPr>
                <w:b/>
              </w:rPr>
            </w:pPr>
            <w:r>
              <w:rPr>
                <w:b/>
              </w:rPr>
              <w:t xml:space="preserve">Reasons for settlement </w:t>
            </w:r>
            <w:r>
              <w:rPr>
                <w:rStyle w:val="FootnoteReference"/>
                <w:b/>
              </w:rPr>
              <w:footnoteReference w:id="1"/>
            </w:r>
          </w:p>
        </w:tc>
        <w:tc>
          <w:tcPr>
            <w:tcW w:w="2330" w:type="dxa"/>
            <w:tcBorders>
              <w:top w:val="single" w:sz="4" w:space="0" w:color="auto"/>
              <w:left w:val="single" w:sz="4" w:space="0" w:color="auto"/>
              <w:bottom w:val="single" w:sz="4" w:space="0" w:color="auto"/>
              <w:right w:val="single" w:sz="4" w:space="0" w:color="auto"/>
            </w:tcBorders>
          </w:tcPr>
          <w:p w14:paraId="2903E4C9" w14:textId="77777777" w:rsidR="00C627B1" w:rsidRDefault="00C627B1"/>
        </w:tc>
      </w:tr>
      <w:tr w:rsidR="00C627B1" w14:paraId="3D20F0F7" w14:textId="77777777" w:rsidTr="002F75F4">
        <w:tc>
          <w:tcPr>
            <w:tcW w:w="6552" w:type="dxa"/>
            <w:tcBorders>
              <w:top w:val="single" w:sz="4" w:space="0" w:color="auto"/>
              <w:left w:val="single" w:sz="4" w:space="0" w:color="auto"/>
              <w:bottom w:val="single" w:sz="4" w:space="0" w:color="auto"/>
              <w:right w:val="single" w:sz="4" w:space="0" w:color="auto"/>
            </w:tcBorders>
          </w:tcPr>
          <w:p w14:paraId="0A43C25D" w14:textId="77777777" w:rsidR="00C627B1" w:rsidRDefault="00724D29">
            <w:r>
              <w:t>Negligence</w:t>
            </w:r>
          </w:p>
        </w:tc>
        <w:tc>
          <w:tcPr>
            <w:tcW w:w="2330" w:type="dxa"/>
            <w:tcBorders>
              <w:top w:val="single" w:sz="4" w:space="0" w:color="auto"/>
              <w:left w:val="single" w:sz="4" w:space="0" w:color="auto"/>
              <w:bottom w:val="single" w:sz="4" w:space="0" w:color="auto"/>
              <w:right w:val="single" w:sz="4" w:space="0" w:color="auto"/>
            </w:tcBorders>
          </w:tcPr>
          <w:p w14:paraId="648428DF" w14:textId="77777777" w:rsidR="00C627B1" w:rsidRDefault="00724D29">
            <w:r>
              <w:t>1</w:t>
            </w:r>
          </w:p>
        </w:tc>
      </w:tr>
      <w:tr w:rsidR="00C627B1" w14:paraId="6D388D97" w14:textId="77777777" w:rsidTr="002F75F4">
        <w:tc>
          <w:tcPr>
            <w:tcW w:w="6552" w:type="dxa"/>
            <w:tcBorders>
              <w:top w:val="single" w:sz="4" w:space="0" w:color="auto"/>
              <w:left w:val="single" w:sz="4" w:space="0" w:color="auto"/>
              <w:bottom w:val="single" w:sz="4" w:space="0" w:color="auto"/>
              <w:right w:val="single" w:sz="4" w:space="0" w:color="auto"/>
            </w:tcBorders>
          </w:tcPr>
          <w:p w14:paraId="33C91A88" w14:textId="77777777" w:rsidR="00C627B1" w:rsidRDefault="00724D29">
            <w:r>
              <w:t>False Imprisonment</w:t>
            </w:r>
          </w:p>
        </w:tc>
        <w:tc>
          <w:tcPr>
            <w:tcW w:w="2330" w:type="dxa"/>
            <w:tcBorders>
              <w:top w:val="single" w:sz="4" w:space="0" w:color="auto"/>
              <w:left w:val="single" w:sz="4" w:space="0" w:color="auto"/>
              <w:bottom w:val="single" w:sz="4" w:space="0" w:color="auto"/>
              <w:right w:val="single" w:sz="4" w:space="0" w:color="auto"/>
            </w:tcBorders>
          </w:tcPr>
          <w:p w14:paraId="450BB556" w14:textId="77777777" w:rsidR="00C627B1" w:rsidRDefault="00724D29">
            <w:r>
              <w:t>1</w:t>
            </w:r>
          </w:p>
        </w:tc>
      </w:tr>
    </w:tbl>
    <w:p w14:paraId="2D9CC288" w14:textId="77777777" w:rsidR="00C627B1" w:rsidRDefault="00C627B1" w:rsidP="00C627B1">
      <w:pPr>
        <w:ind w:left="360"/>
      </w:pPr>
    </w:p>
    <w:p w14:paraId="71DFABCD" w14:textId="77777777" w:rsidR="00C627B1" w:rsidRDefault="00C627B1" w:rsidP="00BF7D64">
      <w:pPr>
        <w:pStyle w:val="ListParagraph"/>
        <w:numPr>
          <w:ilvl w:val="1"/>
          <w:numId w:val="6"/>
        </w:numPr>
        <w:jc w:val="both"/>
      </w:pPr>
      <w:r>
        <w:t>Feedback is provided on a case by case basis to ensure assistance is given in managing risks. At the strategic level the Force takes its ‘risk’ around civil litigation very seriously and works tirelessly to ensure that ‘liability’ is reduced wherever possible and that the ‘lessons learnt’ from finalised cases are integrated into operational and organisational planning and delivery. For example, lessons learnt from motor claims are taken to the Driver Standards Gold Group.</w:t>
      </w:r>
    </w:p>
    <w:p w14:paraId="2CCED3DB" w14:textId="77777777" w:rsidR="00207C8B" w:rsidRDefault="00207C8B" w:rsidP="00207C8B">
      <w:pPr>
        <w:pStyle w:val="ListParagraph"/>
        <w:ind w:left="375"/>
        <w:jc w:val="both"/>
      </w:pPr>
    </w:p>
    <w:p w14:paraId="15A2401E" w14:textId="77777777" w:rsidR="00207C8B" w:rsidRDefault="00207C8B" w:rsidP="00BF7D64">
      <w:pPr>
        <w:pStyle w:val="ListParagraph"/>
        <w:numPr>
          <w:ilvl w:val="1"/>
          <w:numId w:val="6"/>
        </w:numPr>
        <w:jc w:val="both"/>
      </w:pPr>
      <w:r>
        <w:t>Evolve Legal Services currently have the below</w:t>
      </w:r>
      <w:r w:rsidR="00A224A7">
        <w:t xml:space="preserve"> </w:t>
      </w:r>
      <w:r w:rsidR="00A224A7" w:rsidRPr="00300AE1">
        <w:t>civil</w:t>
      </w:r>
      <w:r w:rsidRPr="00300AE1">
        <w:t xml:space="preserve"> matters on-going</w:t>
      </w:r>
      <w:r>
        <w:t>:</w:t>
      </w:r>
    </w:p>
    <w:tbl>
      <w:tblPr>
        <w:tblStyle w:val="TableGrid"/>
        <w:tblpPr w:leftFromText="180" w:rightFromText="180" w:vertAnchor="page" w:horzAnchor="margin" w:tblpY="2310"/>
        <w:tblW w:w="0" w:type="auto"/>
        <w:tblInd w:w="0" w:type="dxa"/>
        <w:tblLook w:val="04A0" w:firstRow="1" w:lastRow="0" w:firstColumn="1" w:lastColumn="0" w:noHBand="0" w:noVBand="1"/>
      </w:tblPr>
      <w:tblGrid>
        <w:gridCol w:w="1771"/>
        <w:gridCol w:w="1790"/>
        <w:gridCol w:w="2126"/>
        <w:gridCol w:w="1443"/>
        <w:gridCol w:w="1737"/>
      </w:tblGrid>
      <w:tr w:rsidR="004B01E0" w14:paraId="72D6CE84" w14:textId="77777777" w:rsidTr="004B01E0">
        <w:tc>
          <w:tcPr>
            <w:tcW w:w="1771" w:type="dxa"/>
          </w:tcPr>
          <w:p w14:paraId="0C828449" w14:textId="77777777" w:rsidR="004B01E0" w:rsidRPr="00617BC0" w:rsidRDefault="004B01E0" w:rsidP="004B01E0">
            <w:pPr>
              <w:pStyle w:val="ListParagraph"/>
              <w:ind w:left="0"/>
              <w:jc w:val="both"/>
              <w:rPr>
                <w:b/>
              </w:rPr>
            </w:pPr>
            <w:r w:rsidRPr="00617BC0">
              <w:rPr>
                <w:b/>
              </w:rPr>
              <w:t>Force</w:t>
            </w:r>
          </w:p>
        </w:tc>
        <w:tc>
          <w:tcPr>
            <w:tcW w:w="1790" w:type="dxa"/>
          </w:tcPr>
          <w:p w14:paraId="06199FA4" w14:textId="77777777" w:rsidR="004B01E0" w:rsidRPr="00617BC0" w:rsidRDefault="004B01E0" w:rsidP="004B01E0">
            <w:pPr>
              <w:pStyle w:val="ListParagraph"/>
              <w:ind w:left="0"/>
              <w:jc w:val="both"/>
              <w:rPr>
                <w:b/>
              </w:rPr>
            </w:pPr>
            <w:r w:rsidRPr="00617BC0">
              <w:rPr>
                <w:b/>
              </w:rPr>
              <w:t>Public Liability</w:t>
            </w:r>
          </w:p>
        </w:tc>
        <w:tc>
          <w:tcPr>
            <w:tcW w:w="2126" w:type="dxa"/>
          </w:tcPr>
          <w:p w14:paraId="200E161F" w14:textId="77777777" w:rsidR="004B01E0" w:rsidRPr="00617BC0" w:rsidRDefault="004B01E0" w:rsidP="004B01E0">
            <w:pPr>
              <w:pStyle w:val="ListParagraph"/>
              <w:ind w:left="0"/>
              <w:jc w:val="both"/>
              <w:rPr>
                <w:b/>
              </w:rPr>
            </w:pPr>
            <w:r w:rsidRPr="00617BC0">
              <w:rPr>
                <w:b/>
              </w:rPr>
              <w:t>Employers Liability</w:t>
            </w:r>
          </w:p>
        </w:tc>
        <w:tc>
          <w:tcPr>
            <w:tcW w:w="1443" w:type="dxa"/>
          </w:tcPr>
          <w:p w14:paraId="577357EF" w14:textId="77777777" w:rsidR="004B01E0" w:rsidRPr="00617BC0" w:rsidRDefault="004B01E0" w:rsidP="004B01E0">
            <w:pPr>
              <w:pStyle w:val="ListParagraph"/>
              <w:ind w:left="0"/>
              <w:jc w:val="both"/>
              <w:rPr>
                <w:b/>
              </w:rPr>
            </w:pPr>
            <w:r>
              <w:rPr>
                <w:b/>
              </w:rPr>
              <w:t>Motor</w:t>
            </w:r>
            <w:r>
              <w:rPr>
                <w:rStyle w:val="FootnoteReference"/>
              </w:rPr>
              <w:t>2</w:t>
            </w:r>
          </w:p>
        </w:tc>
        <w:tc>
          <w:tcPr>
            <w:tcW w:w="1737" w:type="dxa"/>
          </w:tcPr>
          <w:p w14:paraId="7F016042" w14:textId="77777777" w:rsidR="004B01E0" w:rsidRPr="00617BC0" w:rsidRDefault="004B01E0" w:rsidP="004B01E0">
            <w:pPr>
              <w:pStyle w:val="ListParagraph"/>
              <w:ind w:left="0"/>
              <w:jc w:val="both"/>
              <w:rPr>
                <w:b/>
              </w:rPr>
            </w:pPr>
            <w:r w:rsidRPr="00617BC0">
              <w:rPr>
                <w:b/>
              </w:rPr>
              <w:t>Total</w:t>
            </w:r>
          </w:p>
        </w:tc>
      </w:tr>
      <w:tr w:rsidR="004B01E0" w14:paraId="1E512034" w14:textId="77777777" w:rsidTr="004B01E0">
        <w:tc>
          <w:tcPr>
            <w:tcW w:w="1771" w:type="dxa"/>
          </w:tcPr>
          <w:p w14:paraId="35BD989D" w14:textId="77777777" w:rsidR="004B01E0" w:rsidRPr="00617BC0" w:rsidRDefault="004B01E0" w:rsidP="004B01E0">
            <w:pPr>
              <w:pStyle w:val="ListParagraph"/>
              <w:ind w:left="0"/>
              <w:jc w:val="both"/>
              <w:rPr>
                <w:b/>
              </w:rPr>
            </w:pPr>
            <w:r w:rsidRPr="00617BC0">
              <w:rPr>
                <w:b/>
              </w:rPr>
              <w:t>Cleveland</w:t>
            </w:r>
          </w:p>
        </w:tc>
        <w:tc>
          <w:tcPr>
            <w:tcW w:w="1790" w:type="dxa"/>
          </w:tcPr>
          <w:p w14:paraId="45947FD9" w14:textId="77777777" w:rsidR="004B01E0" w:rsidRDefault="004B01E0" w:rsidP="004B01E0">
            <w:pPr>
              <w:pStyle w:val="ListParagraph"/>
              <w:ind w:left="0"/>
              <w:jc w:val="both"/>
            </w:pPr>
            <w:r>
              <w:t>113</w:t>
            </w:r>
          </w:p>
        </w:tc>
        <w:tc>
          <w:tcPr>
            <w:tcW w:w="2126" w:type="dxa"/>
          </w:tcPr>
          <w:p w14:paraId="6CF9863D" w14:textId="77777777" w:rsidR="004B01E0" w:rsidRDefault="004B01E0" w:rsidP="004B01E0">
            <w:pPr>
              <w:pStyle w:val="ListParagraph"/>
              <w:ind w:left="0"/>
              <w:jc w:val="both"/>
            </w:pPr>
            <w:r>
              <w:t>19</w:t>
            </w:r>
          </w:p>
        </w:tc>
        <w:tc>
          <w:tcPr>
            <w:tcW w:w="1443" w:type="dxa"/>
          </w:tcPr>
          <w:p w14:paraId="3B9FCD45" w14:textId="77777777" w:rsidR="004B01E0" w:rsidRDefault="004B01E0" w:rsidP="004B01E0">
            <w:pPr>
              <w:pStyle w:val="ListParagraph"/>
              <w:ind w:left="0"/>
              <w:jc w:val="both"/>
            </w:pPr>
            <w:r>
              <w:t>46</w:t>
            </w:r>
          </w:p>
        </w:tc>
        <w:tc>
          <w:tcPr>
            <w:tcW w:w="1737" w:type="dxa"/>
          </w:tcPr>
          <w:p w14:paraId="7C929453" w14:textId="77777777" w:rsidR="004B01E0" w:rsidRDefault="004B01E0" w:rsidP="004B01E0">
            <w:pPr>
              <w:pStyle w:val="ListParagraph"/>
              <w:ind w:left="0"/>
              <w:jc w:val="both"/>
            </w:pPr>
            <w:r>
              <w:t>178</w:t>
            </w:r>
          </w:p>
        </w:tc>
      </w:tr>
      <w:tr w:rsidR="004B01E0" w14:paraId="0F90B166" w14:textId="77777777" w:rsidTr="004B01E0">
        <w:tc>
          <w:tcPr>
            <w:tcW w:w="1771" w:type="dxa"/>
          </w:tcPr>
          <w:p w14:paraId="294D1BAC" w14:textId="77777777" w:rsidR="004B01E0" w:rsidRPr="00617BC0" w:rsidRDefault="004B01E0" w:rsidP="004B01E0">
            <w:pPr>
              <w:pStyle w:val="ListParagraph"/>
              <w:ind w:left="0"/>
              <w:jc w:val="both"/>
              <w:rPr>
                <w:b/>
              </w:rPr>
            </w:pPr>
            <w:r>
              <w:rPr>
                <w:b/>
              </w:rPr>
              <w:t>Other</w:t>
            </w:r>
          </w:p>
        </w:tc>
        <w:tc>
          <w:tcPr>
            <w:tcW w:w="1790" w:type="dxa"/>
          </w:tcPr>
          <w:p w14:paraId="0E2B527B" w14:textId="77777777" w:rsidR="004B01E0" w:rsidRDefault="004B01E0" w:rsidP="004B01E0">
            <w:pPr>
              <w:pStyle w:val="ListParagraph"/>
              <w:ind w:left="0"/>
              <w:jc w:val="both"/>
            </w:pPr>
            <w:r>
              <w:t>135</w:t>
            </w:r>
          </w:p>
        </w:tc>
        <w:tc>
          <w:tcPr>
            <w:tcW w:w="2126" w:type="dxa"/>
          </w:tcPr>
          <w:p w14:paraId="2F07E69E" w14:textId="77777777" w:rsidR="004B01E0" w:rsidRDefault="004B01E0" w:rsidP="004B01E0">
            <w:pPr>
              <w:pStyle w:val="ListParagraph"/>
              <w:ind w:left="0"/>
              <w:jc w:val="both"/>
            </w:pPr>
            <w:r>
              <w:t>14</w:t>
            </w:r>
          </w:p>
        </w:tc>
        <w:tc>
          <w:tcPr>
            <w:tcW w:w="1443" w:type="dxa"/>
            <w:shd w:val="clear" w:color="auto" w:fill="auto"/>
          </w:tcPr>
          <w:p w14:paraId="5D26FC23" w14:textId="77777777" w:rsidR="004B01E0" w:rsidRDefault="004B01E0" w:rsidP="004B01E0">
            <w:pPr>
              <w:pStyle w:val="ListParagraph"/>
              <w:ind w:left="0"/>
              <w:jc w:val="both"/>
            </w:pPr>
            <w:r>
              <w:t>53</w:t>
            </w:r>
          </w:p>
        </w:tc>
        <w:tc>
          <w:tcPr>
            <w:tcW w:w="1737" w:type="dxa"/>
          </w:tcPr>
          <w:p w14:paraId="3BA3A228" w14:textId="77777777" w:rsidR="004B01E0" w:rsidRDefault="004B01E0" w:rsidP="004B01E0">
            <w:pPr>
              <w:pStyle w:val="ListParagraph"/>
              <w:ind w:left="0"/>
              <w:jc w:val="both"/>
            </w:pPr>
            <w:r>
              <w:t>202</w:t>
            </w:r>
          </w:p>
        </w:tc>
      </w:tr>
    </w:tbl>
    <w:p w14:paraId="3CF259DE" w14:textId="77777777" w:rsidR="007F5445" w:rsidRDefault="007F5445" w:rsidP="00392374">
      <w:pPr>
        <w:pStyle w:val="ListParagraph"/>
        <w:ind w:left="375"/>
        <w:jc w:val="both"/>
      </w:pPr>
    </w:p>
    <w:p w14:paraId="386E5BE3" w14:textId="77777777" w:rsidR="00300AE1" w:rsidRDefault="00300AE1" w:rsidP="00EA1507">
      <w:pPr>
        <w:jc w:val="both"/>
      </w:pPr>
    </w:p>
    <w:p w14:paraId="7CC7DCD1" w14:textId="77777777" w:rsidR="00300AE1" w:rsidRDefault="00300AE1" w:rsidP="00392374">
      <w:pPr>
        <w:pStyle w:val="ListParagraph"/>
        <w:ind w:left="375"/>
        <w:jc w:val="both"/>
      </w:pPr>
      <w:r>
        <w:t>This is in comparison with the last</w:t>
      </w:r>
      <w:r w:rsidR="003761B3">
        <w:t xml:space="preserve"> report in November 2020, where the on-going civil matters stood at the below:</w:t>
      </w:r>
    </w:p>
    <w:p w14:paraId="1A6F3776" w14:textId="77777777" w:rsidR="00ED54DF" w:rsidRDefault="00ED54DF" w:rsidP="00392374">
      <w:pPr>
        <w:pStyle w:val="ListParagraph"/>
        <w:ind w:left="375"/>
        <w:jc w:val="both"/>
      </w:pPr>
    </w:p>
    <w:tbl>
      <w:tblPr>
        <w:tblStyle w:val="TableGrid"/>
        <w:tblpPr w:leftFromText="180" w:rightFromText="180" w:vertAnchor="page" w:horzAnchor="margin" w:tblpY="4694"/>
        <w:tblW w:w="0" w:type="auto"/>
        <w:tblInd w:w="0" w:type="dxa"/>
        <w:tblLook w:val="04A0" w:firstRow="1" w:lastRow="0" w:firstColumn="1" w:lastColumn="0" w:noHBand="0" w:noVBand="1"/>
      </w:tblPr>
      <w:tblGrid>
        <w:gridCol w:w="1771"/>
        <w:gridCol w:w="1790"/>
        <w:gridCol w:w="2126"/>
        <w:gridCol w:w="1443"/>
        <w:gridCol w:w="1737"/>
      </w:tblGrid>
      <w:tr w:rsidR="004B01E0" w14:paraId="7CE5A188" w14:textId="77777777" w:rsidTr="004B01E0">
        <w:tc>
          <w:tcPr>
            <w:tcW w:w="1771" w:type="dxa"/>
          </w:tcPr>
          <w:p w14:paraId="37AF7552" w14:textId="77777777" w:rsidR="004B01E0" w:rsidRPr="00617BC0" w:rsidRDefault="004B01E0" w:rsidP="004B01E0">
            <w:pPr>
              <w:pStyle w:val="ListParagraph"/>
              <w:ind w:left="0"/>
              <w:jc w:val="both"/>
              <w:rPr>
                <w:b/>
              </w:rPr>
            </w:pPr>
            <w:r w:rsidRPr="00617BC0">
              <w:rPr>
                <w:b/>
              </w:rPr>
              <w:t>Force</w:t>
            </w:r>
          </w:p>
        </w:tc>
        <w:tc>
          <w:tcPr>
            <w:tcW w:w="1790" w:type="dxa"/>
          </w:tcPr>
          <w:p w14:paraId="6134A141" w14:textId="77777777" w:rsidR="004B01E0" w:rsidRPr="00617BC0" w:rsidRDefault="004B01E0" w:rsidP="004B01E0">
            <w:pPr>
              <w:pStyle w:val="ListParagraph"/>
              <w:ind w:left="0"/>
              <w:jc w:val="both"/>
              <w:rPr>
                <w:b/>
              </w:rPr>
            </w:pPr>
            <w:r w:rsidRPr="00617BC0">
              <w:rPr>
                <w:b/>
              </w:rPr>
              <w:t>Public Liability</w:t>
            </w:r>
          </w:p>
        </w:tc>
        <w:tc>
          <w:tcPr>
            <w:tcW w:w="2126" w:type="dxa"/>
          </w:tcPr>
          <w:p w14:paraId="3B1B2BFB" w14:textId="77777777" w:rsidR="004B01E0" w:rsidRPr="00617BC0" w:rsidRDefault="004B01E0" w:rsidP="004B01E0">
            <w:pPr>
              <w:pStyle w:val="ListParagraph"/>
              <w:ind w:left="0"/>
              <w:jc w:val="both"/>
              <w:rPr>
                <w:b/>
              </w:rPr>
            </w:pPr>
            <w:r w:rsidRPr="00617BC0">
              <w:rPr>
                <w:b/>
              </w:rPr>
              <w:t>Employers Liability</w:t>
            </w:r>
          </w:p>
        </w:tc>
        <w:tc>
          <w:tcPr>
            <w:tcW w:w="1443" w:type="dxa"/>
          </w:tcPr>
          <w:p w14:paraId="1C730F35" w14:textId="77777777" w:rsidR="004B01E0" w:rsidRPr="00617BC0" w:rsidRDefault="004B01E0" w:rsidP="004B01E0">
            <w:pPr>
              <w:pStyle w:val="ListParagraph"/>
              <w:ind w:left="0"/>
              <w:jc w:val="both"/>
              <w:rPr>
                <w:b/>
              </w:rPr>
            </w:pPr>
            <w:r>
              <w:rPr>
                <w:b/>
              </w:rPr>
              <w:t>Motor</w:t>
            </w:r>
            <w:r>
              <w:rPr>
                <w:rStyle w:val="FootnoteReference"/>
              </w:rPr>
              <w:t>2</w:t>
            </w:r>
          </w:p>
        </w:tc>
        <w:tc>
          <w:tcPr>
            <w:tcW w:w="1737" w:type="dxa"/>
          </w:tcPr>
          <w:p w14:paraId="051B21A0" w14:textId="77777777" w:rsidR="004B01E0" w:rsidRPr="00617BC0" w:rsidRDefault="004B01E0" w:rsidP="004B01E0">
            <w:pPr>
              <w:pStyle w:val="ListParagraph"/>
              <w:ind w:left="0"/>
              <w:jc w:val="both"/>
              <w:rPr>
                <w:b/>
              </w:rPr>
            </w:pPr>
            <w:r w:rsidRPr="00617BC0">
              <w:rPr>
                <w:b/>
              </w:rPr>
              <w:t>Total</w:t>
            </w:r>
          </w:p>
        </w:tc>
      </w:tr>
      <w:tr w:rsidR="004B01E0" w14:paraId="2CB4B5D6" w14:textId="77777777" w:rsidTr="004B01E0">
        <w:tc>
          <w:tcPr>
            <w:tcW w:w="1771" w:type="dxa"/>
          </w:tcPr>
          <w:p w14:paraId="1072D745" w14:textId="77777777" w:rsidR="004B01E0" w:rsidRPr="00617BC0" w:rsidRDefault="004B01E0" w:rsidP="004B01E0">
            <w:pPr>
              <w:pStyle w:val="ListParagraph"/>
              <w:ind w:left="0"/>
              <w:jc w:val="both"/>
              <w:rPr>
                <w:b/>
              </w:rPr>
            </w:pPr>
            <w:r w:rsidRPr="00617BC0">
              <w:rPr>
                <w:b/>
              </w:rPr>
              <w:t>Cleveland</w:t>
            </w:r>
          </w:p>
        </w:tc>
        <w:tc>
          <w:tcPr>
            <w:tcW w:w="1790" w:type="dxa"/>
          </w:tcPr>
          <w:p w14:paraId="20B92518" w14:textId="77777777" w:rsidR="004B01E0" w:rsidRDefault="004B01E0" w:rsidP="004B01E0">
            <w:pPr>
              <w:pStyle w:val="ListParagraph"/>
              <w:ind w:left="0"/>
              <w:jc w:val="both"/>
            </w:pPr>
            <w:r>
              <w:t>95</w:t>
            </w:r>
          </w:p>
        </w:tc>
        <w:tc>
          <w:tcPr>
            <w:tcW w:w="2126" w:type="dxa"/>
          </w:tcPr>
          <w:p w14:paraId="79D0D7F1" w14:textId="77777777" w:rsidR="004B01E0" w:rsidRDefault="004B01E0" w:rsidP="004B01E0">
            <w:pPr>
              <w:pStyle w:val="ListParagraph"/>
              <w:ind w:left="0"/>
              <w:jc w:val="both"/>
            </w:pPr>
            <w:r>
              <w:t>19</w:t>
            </w:r>
          </w:p>
        </w:tc>
        <w:tc>
          <w:tcPr>
            <w:tcW w:w="1443" w:type="dxa"/>
          </w:tcPr>
          <w:p w14:paraId="5BF92AAA" w14:textId="77777777" w:rsidR="004B01E0" w:rsidRDefault="004B01E0" w:rsidP="004B01E0">
            <w:pPr>
              <w:pStyle w:val="ListParagraph"/>
              <w:ind w:left="0"/>
              <w:jc w:val="both"/>
            </w:pPr>
            <w:r>
              <w:t>41</w:t>
            </w:r>
          </w:p>
        </w:tc>
        <w:tc>
          <w:tcPr>
            <w:tcW w:w="1737" w:type="dxa"/>
          </w:tcPr>
          <w:p w14:paraId="00E6AE2D" w14:textId="77777777" w:rsidR="004B01E0" w:rsidRDefault="004B01E0" w:rsidP="004B01E0">
            <w:pPr>
              <w:pStyle w:val="ListParagraph"/>
              <w:ind w:left="0"/>
              <w:jc w:val="both"/>
            </w:pPr>
            <w:r>
              <w:t>155</w:t>
            </w:r>
          </w:p>
        </w:tc>
      </w:tr>
      <w:tr w:rsidR="004B01E0" w14:paraId="080CCBE4" w14:textId="77777777" w:rsidTr="004B01E0">
        <w:tc>
          <w:tcPr>
            <w:tcW w:w="1771" w:type="dxa"/>
          </w:tcPr>
          <w:p w14:paraId="2BB0A325" w14:textId="77777777" w:rsidR="004B01E0" w:rsidRPr="00617BC0" w:rsidRDefault="004B01E0" w:rsidP="004B01E0">
            <w:pPr>
              <w:pStyle w:val="ListParagraph"/>
              <w:ind w:left="0"/>
              <w:jc w:val="both"/>
              <w:rPr>
                <w:b/>
              </w:rPr>
            </w:pPr>
            <w:r>
              <w:rPr>
                <w:b/>
              </w:rPr>
              <w:t>Other</w:t>
            </w:r>
          </w:p>
        </w:tc>
        <w:tc>
          <w:tcPr>
            <w:tcW w:w="1790" w:type="dxa"/>
          </w:tcPr>
          <w:p w14:paraId="326F7D99" w14:textId="77777777" w:rsidR="004B01E0" w:rsidRDefault="004B01E0" w:rsidP="004B01E0">
            <w:pPr>
              <w:pStyle w:val="ListParagraph"/>
              <w:ind w:left="0"/>
              <w:jc w:val="both"/>
            </w:pPr>
            <w:r>
              <w:t>99</w:t>
            </w:r>
          </w:p>
        </w:tc>
        <w:tc>
          <w:tcPr>
            <w:tcW w:w="2126" w:type="dxa"/>
          </w:tcPr>
          <w:p w14:paraId="7A322CC9" w14:textId="77777777" w:rsidR="004B01E0" w:rsidRDefault="004B01E0" w:rsidP="004B01E0">
            <w:pPr>
              <w:pStyle w:val="ListParagraph"/>
              <w:ind w:left="0"/>
              <w:jc w:val="both"/>
            </w:pPr>
            <w:r>
              <w:t>12</w:t>
            </w:r>
          </w:p>
        </w:tc>
        <w:tc>
          <w:tcPr>
            <w:tcW w:w="1443" w:type="dxa"/>
            <w:shd w:val="clear" w:color="auto" w:fill="auto"/>
          </w:tcPr>
          <w:p w14:paraId="71ED072D" w14:textId="77777777" w:rsidR="004B01E0" w:rsidRDefault="004B01E0" w:rsidP="004B01E0">
            <w:pPr>
              <w:pStyle w:val="ListParagraph"/>
              <w:ind w:left="0"/>
              <w:jc w:val="both"/>
            </w:pPr>
            <w:r>
              <w:t>39</w:t>
            </w:r>
          </w:p>
        </w:tc>
        <w:tc>
          <w:tcPr>
            <w:tcW w:w="1737" w:type="dxa"/>
          </w:tcPr>
          <w:p w14:paraId="2D393E03" w14:textId="77777777" w:rsidR="004B01E0" w:rsidRDefault="004B01E0" w:rsidP="004B01E0">
            <w:pPr>
              <w:pStyle w:val="ListParagraph"/>
              <w:ind w:left="0"/>
              <w:jc w:val="both"/>
            </w:pPr>
            <w:r>
              <w:t>150</w:t>
            </w:r>
          </w:p>
        </w:tc>
      </w:tr>
    </w:tbl>
    <w:p w14:paraId="6DF69249" w14:textId="77777777" w:rsidR="004B01E0" w:rsidRDefault="004B01E0" w:rsidP="00D24A0F">
      <w:pPr>
        <w:pStyle w:val="Heading1"/>
      </w:pPr>
    </w:p>
    <w:p w14:paraId="2756FE05" w14:textId="77777777" w:rsidR="00300AE1" w:rsidRPr="00D24A0F" w:rsidRDefault="00300AE1" w:rsidP="00D24A0F">
      <w:pPr>
        <w:pStyle w:val="Heading1"/>
      </w:pPr>
      <w:r w:rsidRPr="00D24A0F">
        <w:t>Claims Analysis</w:t>
      </w:r>
    </w:p>
    <w:p w14:paraId="4F5BD743" w14:textId="77777777" w:rsidR="00D24A0F" w:rsidRDefault="00300AE1" w:rsidP="00D24A0F">
      <w:pPr>
        <w:pStyle w:val="ListParagraph"/>
        <w:numPr>
          <w:ilvl w:val="1"/>
          <w:numId w:val="6"/>
        </w:numPr>
        <w:jc w:val="both"/>
      </w:pPr>
      <w:r>
        <w:t xml:space="preserve">We commissioned </w:t>
      </w:r>
      <w:r w:rsidR="00ED54DF">
        <w:t xml:space="preserve">a piece of work to further understand why the </w:t>
      </w:r>
      <w:r w:rsidR="00F1309D">
        <w:t>levels of Claims within Cleveland are</w:t>
      </w:r>
      <w:r w:rsidR="00ED54DF">
        <w:t xml:space="preserve"> so high in comparison to the other </w:t>
      </w:r>
      <w:r w:rsidR="00F1309D">
        <w:t xml:space="preserve">forces </w:t>
      </w:r>
      <w:r w:rsidR="00ED54DF">
        <w:t xml:space="preserve">within the collaboration. </w:t>
      </w:r>
      <w:r w:rsidR="00D24A0F">
        <w:t>W</w:t>
      </w:r>
      <w:r w:rsidR="00585F92">
        <w:t xml:space="preserve">e </w:t>
      </w:r>
      <w:r w:rsidR="00D24A0F">
        <w:t>a</w:t>
      </w:r>
      <w:r w:rsidR="00585F92">
        <w:t>nalys</w:t>
      </w:r>
      <w:r w:rsidR="00D24A0F">
        <w:t>ed</w:t>
      </w:r>
      <w:r w:rsidR="00585F92">
        <w:t xml:space="preserve"> claims received over the last year. </w:t>
      </w:r>
      <w:r w:rsidR="00D24A0F">
        <w:t xml:space="preserve">The findings </w:t>
      </w:r>
      <w:proofErr w:type="gramStart"/>
      <w:r w:rsidR="00D24A0F">
        <w:t>showed:-</w:t>
      </w:r>
      <w:proofErr w:type="gramEnd"/>
    </w:p>
    <w:p w14:paraId="115E1031" w14:textId="77777777" w:rsidR="00D24A0F" w:rsidRDefault="00D24A0F" w:rsidP="00D24A0F">
      <w:pPr>
        <w:pStyle w:val="ListParagraph"/>
        <w:ind w:left="375"/>
        <w:jc w:val="both"/>
      </w:pPr>
    </w:p>
    <w:p w14:paraId="609FDC06" w14:textId="77777777" w:rsidR="00D24A0F" w:rsidRDefault="00585F92" w:rsidP="00D24A0F">
      <w:pPr>
        <w:pStyle w:val="ListParagraph"/>
        <w:numPr>
          <w:ilvl w:val="2"/>
          <w:numId w:val="6"/>
        </w:numPr>
        <w:jc w:val="both"/>
      </w:pPr>
      <w:r>
        <w:t>Although</w:t>
      </w:r>
      <w:r w:rsidR="002A02E4">
        <w:t xml:space="preserve"> public liability</w:t>
      </w:r>
      <w:r>
        <w:t xml:space="preserve"> claims are spread over many torts </w:t>
      </w:r>
      <w:r w:rsidR="00A40CDC">
        <w:t>with</w:t>
      </w:r>
      <w:r>
        <w:t xml:space="preserve"> no </w:t>
      </w:r>
      <w:proofErr w:type="gramStart"/>
      <w:r>
        <w:t>particular theme</w:t>
      </w:r>
      <w:proofErr w:type="gramEnd"/>
      <w:r>
        <w:t xml:space="preserve"> or trend, the main claims remain in relation to arrest/detention. Over</w:t>
      </w:r>
      <w:r w:rsidR="00D24A0F">
        <w:t xml:space="preserve"> the last 7 years, except 18/19</w:t>
      </w:r>
      <w:r>
        <w:t xml:space="preserve">, Cleveland </w:t>
      </w:r>
      <w:r w:rsidR="00A40CDC">
        <w:t>has</w:t>
      </w:r>
      <w:r>
        <w:t xml:space="preserve"> the highest arrest rate </w:t>
      </w:r>
      <w:r w:rsidR="009F4A03">
        <w:t xml:space="preserve">for notifiable arrests. </w:t>
      </w:r>
    </w:p>
    <w:p w14:paraId="6FC8C32B" w14:textId="77777777" w:rsidR="00D24A0F" w:rsidRDefault="00D24A0F" w:rsidP="00D24A0F">
      <w:pPr>
        <w:pStyle w:val="ListParagraph"/>
        <w:jc w:val="both"/>
      </w:pPr>
    </w:p>
    <w:tbl>
      <w:tblPr>
        <w:tblpPr w:leftFromText="180" w:rightFromText="180" w:vertAnchor="text" w:horzAnchor="margin" w:tblpY="731"/>
        <w:tblW w:w="9214" w:type="dxa"/>
        <w:tblCellMar>
          <w:left w:w="0" w:type="dxa"/>
          <w:right w:w="0" w:type="dxa"/>
        </w:tblCellMar>
        <w:tblLook w:val="04A0" w:firstRow="1" w:lastRow="0" w:firstColumn="1" w:lastColumn="0" w:noHBand="0" w:noVBand="1"/>
      </w:tblPr>
      <w:tblGrid>
        <w:gridCol w:w="4725"/>
        <w:gridCol w:w="4489"/>
      </w:tblGrid>
      <w:tr w:rsidR="00775598" w14:paraId="4ABB2E39" w14:textId="77777777" w:rsidTr="00775598">
        <w:trPr>
          <w:trHeight w:val="67"/>
        </w:trPr>
        <w:tc>
          <w:tcPr>
            <w:tcW w:w="4725" w:type="dxa"/>
            <w:tcBorders>
              <w:top w:val="single" w:sz="4" w:space="0" w:color="auto"/>
              <w:left w:val="single" w:sz="8" w:space="0" w:color="auto"/>
              <w:bottom w:val="single" w:sz="8" w:space="0" w:color="auto"/>
              <w:right w:val="single" w:sz="8" w:space="0" w:color="auto"/>
            </w:tcBorders>
            <w:shd w:val="clear" w:color="auto" w:fill="auto"/>
          </w:tcPr>
          <w:p w14:paraId="03F44588" w14:textId="77777777" w:rsidR="00775598" w:rsidRDefault="00775598" w:rsidP="00775598">
            <w:pPr>
              <w:jc w:val="center"/>
              <w:rPr>
                <w:b/>
                <w:bCs/>
                <w:color w:val="000000"/>
                <w:lang w:eastAsia="en-GB"/>
              </w:rPr>
            </w:pPr>
            <w:r>
              <w:rPr>
                <w:b/>
                <w:bCs/>
                <w:color w:val="000000"/>
                <w:lang w:eastAsia="en-GB"/>
              </w:rPr>
              <w:t>Force</w:t>
            </w:r>
          </w:p>
        </w:tc>
        <w:tc>
          <w:tcPr>
            <w:tcW w:w="4489" w:type="dxa"/>
            <w:tcBorders>
              <w:top w:val="single" w:sz="4" w:space="0" w:color="auto"/>
              <w:left w:val="single" w:sz="8" w:space="0" w:color="auto"/>
              <w:bottom w:val="single" w:sz="8" w:space="0" w:color="auto"/>
              <w:right w:val="single" w:sz="8" w:space="0" w:color="auto"/>
            </w:tcBorders>
            <w:shd w:val="clear" w:color="auto" w:fill="auto"/>
            <w:noWrap/>
            <w:tcMar>
              <w:top w:w="0" w:type="dxa"/>
              <w:left w:w="108" w:type="dxa"/>
              <w:bottom w:w="0" w:type="dxa"/>
              <w:right w:w="108" w:type="dxa"/>
            </w:tcMar>
            <w:vAlign w:val="bottom"/>
            <w:hideMark/>
          </w:tcPr>
          <w:p w14:paraId="4D1C1E17" w14:textId="77777777" w:rsidR="00775598" w:rsidRDefault="00775598" w:rsidP="00775598">
            <w:pPr>
              <w:jc w:val="center"/>
              <w:rPr>
                <w:rFonts w:ascii="Calibri" w:hAnsi="Calibri"/>
                <w:b/>
                <w:bCs/>
                <w:color w:val="000000"/>
                <w:lang w:eastAsia="en-GB"/>
              </w:rPr>
            </w:pPr>
            <w:r>
              <w:rPr>
                <w:b/>
                <w:bCs/>
                <w:color w:val="000000"/>
                <w:lang w:eastAsia="en-GB"/>
              </w:rPr>
              <w:t>2019/20 arrest rate per 1000 pop</w:t>
            </w:r>
          </w:p>
        </w:tc>
      </w:tr>
      <w:tr w:rsidR="00775598" w14:paraId="1375ABD5" w14:textId="77777777" w:rsidTr="00775598">
        <w:trPr>
          <w:trHeight w:val="67"/>
        </w:trPr>
        <w:tc>
          <w:tcPr>
            <w:tcW w:w="4725" w:type="dxa"/>
            <w:tcBorders>
              <w:top w:val="nil"/>
              <w:left w:val="single" w:sz="8" w:space="0" w:color="auto"/>
              <w:bottom w:val="single" w:sz="8" w:space="0" w:color="auto"/>
              <w:right w:val="single" w:sz="8" w:space="0" w:color="auto"/>
            </w:tcBorders>
          </w:tcPr>
          <w:p w14:paraId="09E920B2" w14:textId="77777777" w:rsidR="00775598" w:rsidRDefault="00775598" w:rsidP="00775598">
            <w:pPr>
              <w:jc w:val="center"/>
              <w:rPr>
                <w:color w:val="000000"/>
                <w:lang w:eastAsia="en-GB"/>
              </w:rPr>
            </w:pPr>
            <w:r>
              <w:rPr>
                <w:color w:val="000000"/>
                <w:lang w:eastAsia="en-GB"/>
              </w:rPr>
              <w:t>Cleveland</w:t>
            </w:r>
          </w:p>
        </w:tc>
        <w:tc>
          <w:tcPr>
            <w:tcW w:w="4489"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4F97F3ED" w14:textId="77777777" w:rsidR="00775598" w:rsidRDefault="00775598" w:rsidP="00775598">
            <w:pPr>
              <w:jc w:val="center"/>
              <w:rPr>
                <w:rFonts w:ascii="Calibri" w:hAnsi="Calibri"/>
                <w:color w:val="000000"/>
                <w:lang w:eastAsia="en-GB"/>
              </w:rPr>
            </w:pPr>
            <w:r>
              <w:rPr>
                <w:color w:val="000000"/>
                <w:lang w:eastAsia="en-GB"/>
              </w:rPr>
              <w:t>18</w:t>
            </w:r>
          </w:p>
        </w:tc>
      </w:tr>
      <w:tr w:rsidR="00775598" w14:paraId="0191C6F2" w14:textId="77777777" w:rsidTr="00775598">
        <w:trPr>
          <w:trHeight w:val="67"/>
        </w:trPr>
        <w:tc>
          <w:tcPr>
            <w:tcW w:w="4725" w:type="dxa"/>
            <w:tcBorders>
              <w:top w:val="nil"/>
              <w:left w:val="single" w:sz="8" w:space="0" w:color="auto"/>
              <w:bottom w:val="single" w:sz="8" w:space="0" w:color="auto"/>
              <w:right w:val="single" w:sz="8" w:space="0" w:color="auto"/>
            </w:tcBorders>
          </w:tcPr>
          <w:p w14:paraId="244DD0F7" w14:textId="77777777" w:rsidR="00775598" w:rsidRDefault="00775598" w:rsidP="00775598">
            <w:pPr>
              <w:jc w:val="center"/>
              <w:rPr>
                <w:color w:val="000000"/>
                <w:lang w:eastAsia="en-GB"/>
              </w:rPr>
            </w:pPr>
            <w:r>
              <w:rPr>
                <w:color w:val="000000"/>
                <w:lang w:eastAsia="en-GB"/>
              </w:rPr>
              <w:t>Durham</w:t>
            </w:r>
          </w:p>
        </w:tc>
        <w:tc>
          <w:tcPr>
            <w:tcW w:w="4489"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58564B40" w14:textId="77777777" w:rsidR="00775598" w:rsidRDefault="00775598" w:rsidP="00775598">
            <w:pPr>
              <w:jc w:val="center"/>
              <w:rPr>
                <w:rFonts w:ascii="Calibri" w:hAnsi="Calibri"/>
                <w:color w:val="000000"/>
                <w:lang w:eastAsia="en-GB"/>
              </w:rPr>
            </w:pPr>
            <w:r>
              <w:rPr>
                <w:color w:val="000000"/>
                <w:lang w:eastAsia="en-GB"/>
              </w:rPr>
              <w:t>12</w:t>
            </w:r>
          </w:p>
        </w:tc>
      </w:tr>
      <w:tr w:rsidR="00775598" w14:paraId="54783D5B" w14:textId="77777777" w:rsidTr="00775598">
        <w:trPr>
          <w:trHeight w:val="69"/>
        </w:trPr>
        <w:tc>
          <w:tcPr>
            <w:tcW w:w="4725" w:type="dxa"/>
            <w:tcBorders>
              <w:top w:val="nil"/>
              <w:left w:val="single" w:sz="8" w:space="0" w:color="auto"/>
              <w:bottom w:val="single" w:sz="8" w:space="0" w:color="auto"/>
              <w:right w:val="single" w:sz="8" w:space="0" w:color="auto"/>
            </w:tcBorders>
          </w:tcPr>
          <w:p w14:paraId="5089EC95" w14:textId="77777777" w:rsidR="00775598" w:rsidRDefault="00775598" w:rsidP="00775598">
            <w:pPr>
              <w:jc w:val="center"/>
              <w:rPr>
                <w:color w:val="000000"/>
                <w:lang w:eastAsia="en-GB"/>
              </w:rPr>
            </w:pPr>
            <w:r>
              <w:rPr>
                <w:color w:val="000000"/>
                <w:lang w:eastAsia="en-GB"/>
              </w:rPr>
              <w:t>North Yorkshire</w:t>
            </w:r>
          </w:p>
        </w:tc>
        <w:tc>
          <w:tcPr>
            <w:tcW w:w="4489"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5645F296" w14:textId="77777777" w:rsidR="00775598" w:rsidRDefault="00775598" w:rsidP="00775598">
            <w:pPr>
              <w:jc w:val="center"/>
              <w:rPr>
                <w:rFonts w:ascii="Calibri" w:hAnsi="Calibri"/>
                <w:color w:val="000000"/>
                <w:lang w:eastAsia="en-GB"/>
              </w:rPr>
            </w:pPr>
            <w:r>
              <w:rPr>
                <w:color w:val="000000"/>
                <w:lang w:eastAsia="en-GB"/>
              </w:rPr>
              <w:t>11</w:t>
            </w:r>
          </w:p>
        </w:tc>
      </w:tr>
    </w:tbl>
    <w:p w14:paraId="23D6B63C" w14:textId="77777777" w:rsidR="009F4A03" w:rsidRDefault="009F4A03" w:rsidP="00D24A0F">
      <w:pPr>
        <w:pStyle w:val="ListParagraph"/>
        <w:numPr>
          <w:ilvl w:val="2"/>
          <w:numId w:val="6"/>
        </w:numPr>
        <w:jc w:val="both"/>
      </w:pPr>
      <w:r>
        <w:t>Cleveland also had the</w:t>
      </w:r>
      <w:r w:rsidR="00585F92">
        <w:t xml:space="preserve"> highest arrest rate for 19/20 </w:t>
      </w:r>
      <w:r>
        <w:t xml:space="preserve">per 1000 population, as the below </w:t>
      </w:r>
      <w:r w:rsidR="00775598">
        <w:t xml:space="preserve">charts indicate:  </w:t>
      </w:r>
    </w:p>
    <w:p w14:paraId="7F19DE08" w14:textId="77777777" w:rsidR="00775598" w:rsidRDefault="00775598" w:rsidP="00775598">
      <w:pPr>
        <w:pStyle w:val="ListParagraph"/>
        <w:jc w:val="both"/>
      </w:pPr>
    </w:p>
    <w:tbl>
      <w:tblPr>
        <w:tblW w:w="9238" w:type="dxa"/>
        <w:tblInd w:w="4" w:type="dxa"/>
        <w:tblCellMar>
          <w:left w:w="0" w:type="dxa"/>
          <w:right w:w="0" w:type="dxa"/>
        </w:tblCellMar>
        <w:tblLook w:val="04A0" w:firstRow="1" w:lastRow="0" w:firstColumn="1" w:lastColumn="0" w:noHBand="0" w:noVBand="1"/>
      </w:tblPr>
      <w:tblGrid>
        <w:gridCol w:w="2100"/>
        <w:gridCol w:w="1189"/>
        <w:gridCol w:w="1084"/>
        <w:gridCol w:w="973"/>
        <w:gridCol w:w="973"/>
        <w:gridCol w:w="973"/>
        <w:gridCol w:w="973"/>
        <w:gridCol w:w="973"/>
      </w:tblGrid>
      <w:tr w:rsidR="00585F92" w14:paraId="6680206F" w14:textId="77777777" w:rsidTr="00775598">
        <w:trPr>
          <w:trHeight w:val="291"/>
        </w:trPr>
        <w:tc>
          <w:tcPr>
            <w:tcW w:w="2115" w:type="dxa"/>
            <w:tcBorders>
              <w:top w:val="single" w:sz="8" w:space="0" w:color="auto"/>
              <w:left w:val="single" w:sz="8" w:space="0" w:color="auto"/>
              <w:bottom w:val="single" w:sz="8" w:space="0" w:color="auto"/>
              <w:right w:val="single" w:sz="8" w:space="0" w:color="auto"/>
            </w:tcBorders>
            <w:shd w:val="clear" w:color="auto" w:fill="auto"/>
            <w:noWrap/>
            <w:tcMar>
              <w:top w:w="0" w:type="dxa"/>
              <w:left w:w="108" w:type="dxa"/>
              <w:bottom w:w="0" w:type="dxa"/>
              <w:right w:w="108" w:type="dxa"/>
            </w:tcMar>
            <w:vAlign w:val="bottom"/>
            <w:hideMark/>
          </w:tcPr>
          <w:p w14:paraId="1E67C8A0" w14:textId="77777777" w:rsidR="00585F92" w:rsidRDefault="00585F92">
            <w:pPr>
              <w:rPr>
                <w:rFonts w:ascii="Calibri" w:hAnsi="Calibri"/>
                <w:b/>
                <w:bCs/>
                <w:color w:val="000000"/>
                <w:lang w:eastAsia="en-GB"/>
              </w:rPr>
            </w:pPr>
            <w:r>
              <w:rPr>
                <w:b/>
                <w:bCs/>
                <w:color w:val="000000"/>
                <w:lang w:eastAsia="en-GB"/>
              </w:rPr>
              <w:t>Force</w:t>
            </w:r>
          </w:p>
        </w:tc>
        <w:tc>
          <w:tcPr>
            <w:tcW w:w="1196" w:type="dxa"/>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vAlign w:val="bottom"/>
            <w:hideMark/>
          </w:tcPr>
          <w:p w14:paraId="0E887560" w14:textId="77777777" w:rsidR="00585F92" w:rsidRDefault="00585F92">
            <w:pPr>
              <w:rPr>
                <w:rFonts w:ascii="Calibri" w:hAnsi="Calibri"/>
                <w:b/>
                <w:bCs/>
                <w:color w:val="000000"/>
                <w:lang w:eastAsia="en-GB"/>
              </w:rPr>
            </w:pPr>
            <w:r>
              <w:rPr>
                <w:b/>
                <w:bCs/>
                <w:color w:val="000000"/>
                <w:lang w:eastAsia="en-GB"/>
              </w:rPr>
              <w:t>2013/14</w:t>
            </w:r>
          </w:p>
        </w:tc>
        <w:tc>
          <w:tcPr>
            <w:tcW w:w="1092" w:type="dxa"/>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vAlign w:val="bottom"/>
            <w:hideMark/>
          </w:tcPr>
          <w:p w14:paraId="240B8FC9" w14:textId="77777777" w:rsidR="00585F92" w:rsidRDefault="00585F92">
            <w:pPr>
              <w:rPr>
                <w:rFonts w:ascii="Calibri" w:hAnsi="Calibri"/>
                <w:b/>
                <w:bCs/>
                <w:color w:val="000000"/>
                <w:lang w:eastAsia="en-GB"/>
              </w:rPr>
            </w:pPr>
            <w:r>
              <w:rPr>
                <w:b/>
                <w:bCs/>
                <w:color w:val="000000"/>
                <w:lang w:eastAsia="en-GB"/>
              </w:rPr>
              <w:t>2014/15</w:t>
            </w:r>
          </w:p>
        </w:tc>
        <w:tc>
          <w:tcPr>
            <w:tcW w:w="967" w:type="dxa"/>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vAlign w:val="bottom"/>
            <w:hideMark/>
          </w:tcPr>
          <w:p w14:paraId="6A97D66D" w14:textId="77777777" w:rsidR="00585F92" w:rsidRDefault="00585F92">
            <w:pPr>
              <w:rPr>
                <w:rFonts w:ascii="Calibri" w:hAnsi="Calibri"/>
                <w:b/>
                <w:bCs/>
                <w:color w:val="000000"/>
                <w:lang w:eastAsia="en-GB"/>
              </w:rPr>
            </w:pPr>
            <w:r>
              <w:rPr>
                <w:b/>
                <w:bCs/>
                <w:color w:val="000000"/>
                <w:lang w:eastAsia="en-GB"/>
              </w:rPr>
              <w:t>2015/16</w:t>
            </w:r>
          </w:p>
        </w:tc>
        <w:tc>
          <w:tcPr>
            <w:tcW w:w="967" w:type="dxa"/>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vAlign w:val="bottom"/>
            <w:hideMark/>
          </w:tcPr>
          <w:p w14:paraId="5E0A0D94" w14:textId="77777777" w:rsidR="00585F92" w:rsidRDefault="00585F92">
            <w:pPr>
              <w:rPr>
                <w:rFonts w:ascii="Calibri" w:hAnsi="Calibri"/>
                <w:b/>
                <w:bCs/>
                <w:color w:val="000000"/>
                <w:lang w:eastAsia="en-GB"/>
              </w:rPr>
            </w:pPr>
            <w:r>
              <w:rPr>
                <w:b/>
                <w:bCs/>
                <w:color w:val="000000"/>
                <w:lang w:eastAsia="en-GB"/>
              </w:rPr>
              <w:t>2016/17</w:t>
            </w:r>
          </w:p>
        </w:tc>
        <w:tc>
          <w:tcPr>
            <w:tcW w:w="967" w:type="dxa"/>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vAlign w:val="bottom"/>
            <w:hideMark/>
          </w:tcPr>
          <w:p w14:paraId="42B7DBE1" w14:textId="77777777" w:rsidR="00585F92" w:rsidRDefault="00585F92">
            <w:pPr>
              <w:rPr>
                <w:rFonts w:ascii="Calibri" w:hAnsi="Calibri"/>
                <w:b/>
                <w:bCs/>
                <w:color w:val="000000"/>
                <w:lang w:eastAsia="en-GB"/>
              </w:rPr>
            </w:pPr>
            <w:r>
              <w:rPr>
                <w:b/>
                <w:bCs/>
                <w:color w:val="000000"/>
                <w:lang w:eastAsia="en-GB"/>
              </w:rPr>
              <w:t>2017/18</w:t>
            </w:r>
          </w:p>
        </w:tc>
        <w:tc>
          <w:tcPr>
            <w:tcW w:w="967" w:type="dxa"/>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vAlign w:val="bottom"/>
            <w:hideMark/>
          </w:tcPr>
          <w:p w14:paraId="227B1CE8" w14:textId="77777777" w:rsidR="00585F92" w:rsidRDefault="00585F92">
            <w:pPr>
              <w:rPr>
                <w:rFonts w:ascii="Calibri" w:hAnsi="Calibri"/>
                <w:b/>
                <w:bCs/>
                <w:color w:val="000000"/>
                <w:lang w:eastAsia="en-GB"/>
              </w:rPr>
            </w:pPr>
            <w:r>
              <w:rPr>
                <w:b/>
                <w:bCs/>
                <w:color w:val="000000"/>
                <w:lang w:eastAsia="en-GB"/>
              </w:rPr>
              <w:t>2018/19</w:t>
            </w:r>
          </w:p>
        </w:tc>
        <w:tc>
          <w:tcPr>
            <w:tcW w:w="967" w:type="dxa"/>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vAlign w:val="bottom"/>
            <w:hideMark/>
          </w:tcPr>
          <w:p w14:paraId="6810C5C6" w14:textId="77777777" w:rsidR="00585F92" w:rsidRDefault="00585F92">
            <w:pPr>
              <w:jc w:val="center"/>
              <w:rPr>
                <w:rFonts w:ascii="Calibri" w:hAnsi="Calibri"/>
                <w:b/>
                <w:bCs/>
                <w:color w:val="000000"/>
                <w:lang w:eastAsia="en-GB"/>
              </w:rPr>
            </w:pPr>
            <w:r>
              <w:rPr>
                <w:b/>
                <w:bCs/>
                <w:color w:val="000000"/>
                <w:lang w:eastAsia="en-GB"/>
              </w:rPr>
              <w:t>2019/20</w:t>
            </w:r>
          </w:p>
        </w:tc>
      </w:tr>
      <w:tr w:rsidR="00585F92" w14:paraId="45277432" w14:textId="77777777" w:rsidTr="00775598">
        <w:trPr>
          <w:trHeight w:val="291"/>
        </w:trPr>
        <w:tc>
          <w:tcPr>
            <w:tcW w:w="211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5C69248E" w14:textId="77777777" w:rsidR="00585F92" w:rsidRDefault="00585F92">
            <w:pPr>
              <w:rPr>
                <w:rFonts w:ascii="Calibri" w:hAnsi="Calibri"/>
                <w:color w:val="000000"/>
                <w:lang w:eastAsia="en-GB"/>
              </w:rPr>
            </w:pPr>
            <w:r>
              <w:rPr>
                <w:color w:val="000000"/>
                <w:lang w:eastAsia="en-GB"/>
              </w:rPr>
              <w:t>Cleveland</w:t>
            </w:r>
          </w:p>
        </w:tc>
        <w:tc>
          <w:tcPr>
            <w:tcW w:w="119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48AC3A72" w14:textId="77777777" w:rsidR="00585F92" w:rsidRDefault="00585F92">
            <w:pPr>
              <w:jc w:val="right"/>
              <w:rPr>
                <w:rFonts w:ascii="Calibri" w:hAnsi="Calibri"/>
                <w:color w:val="000000"/>
                <w:lang w:eastAsia="en-GB"/>
              </w:rPr>
            </w:pPr>
            <w:r>
              <w:rPr>
                <w:color w:val="000000"/>
                <w:lang w:eastAsia="en-GB"/>
              </w:rPr>
              <w:t>17102</w:t>
            </w:r>
          </w:p>
        </w:tc>
        <w:tc>
          <w:tcPr>
            <w:tcW w:w="109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124AFF9C" w14:textId="77777777" w:rsidR="00585F92" w:rsidRDefault="00585F92">
            <w:pPr>
              <w:jc w:val="right"/>
              <w:rPr>
                <w:rFonts w:ascii="Calibri" w:hAnsi="Calibri"/>
                <w:color w:val="000000"/>
                <w:lang w:eastAsia="en-GB"/>
              </w:rPr>
            </w:pPr>
            <w:r>
              <w:rPr>
                <w:color w:val="000000"/>
                <w:lang w:eastAsia="en-GB"/>
              </w:rPr>
              <w:t>15607</w:t>
            </w:r>
          </w:p>
        </w:tc>
        <w:tc>
          <w:tcPr>
            <w:tcW w:w="967"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23CAF21" w14:textId="77777777" w:rsidR="00585F92" w:rsidRDefault="00585F92">
            <w:pPr>
              <w:jc w:val="right"/>
              <w:rPr>
                <w:rFonts w:ascii="Calibri" w:hAnsi="Calibri"/>
                <w:color w:val="000000"/>
                <w:lang w:eastAsia="en-GB"/>
              </w:rPr>
            </w:pPr>
            <w:r>
              <w:rPr>
                <w:color w:val="000000"/>
                <w:lang w:eastAsia="en-GB"/>
              </w:rPr>
              <w:t>14316</w:t>
            </w:r>
          </w:p>
        </w:tc>
        <w:tc>
          <w:tcPr>
            <w:tcW w:w="967"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4D176C50" w14:textId="77777777" w:rsidR="00585F92" w:rsidRDefault="00585F92">
            <w:pPr>
              <w:jc w:val="right"/>
              <w:rPr>
                <w:rFonts w:ascii="Calibri" w:hAnsi="Calibri"/>
                <w:color w:val="000000"/>
                <w:lang w:eastAsia="en-GB"/>
              </w:rPr>
            </w:pPr>
            <w:r>
              <w:rPr>
                <w:color w:val="000000"/>
                <w:lang w:eastAsia="en-GB"/>
              </w:rPr>
              <w:t>12016</w:t>
            </w:r>
          </w:p>
        </w:tc>
        <w:tc>
          <w:tcPr>
            <w:tcW w:w="967"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16A32569" w14:textId="77777777" w:rsidR="00585F92" w:rsidRDefault="00585F92">
            <w:pPr>
              <w:jc w:val="right"/>
              <w:rPr>
                <w:rFonts w:ascii="Calibri" w:hAnsi="Calibri"/>
                <w:color w:val="000000"/>
                <w:lang w:eastAsia="en-GB"/>
              </w:rPr>
            </w:pPr>
            <w:r>
              <w:rPr>
                <w:color w:val="000000"/>
                <w:lang w:eastAsia="en-GB"/>
              </w:rPr>
              <w:t>10662</w:t>
            </w:r>
          </w:p>
        </w:tc>
        <w:tc>
          <w:tcPr>
            <w:tcW w:w="967"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BDEF9A6" w14:textId="77777777" w:rsidR="00585F92" w:rsidRDefault="00585F92">
            <w:pPr>
              <w:jc w:val="right"/>
              <w:rPr>
                <w:rFonts w:ascii="Calibri" w:hAnsi="Calibri"/>
                <w:color w:val="000000"/>
                <w:lang w:eastAsia="en-GB"/>
              </w:rPr>
            </w:pPr>
            <w:r>
              <w:rPr>
                <w:color w:val="000000"/>
                <w:lang w:eastAsia="en-GB"/>
              </w:rPr>
              <w:t>9703</w:t>
            </w:r>
          </w:p>
        </w:tc>
        <w:tc>
          <w:tcPr>
            <w:tcW w:w="967"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41C1A3E" w14:textId="77777777" w:rsidR="00585F92" w:rsidRDefault="00585F92">
            <w:pPr>
              <w:jc w:val="center"/>
              <w:rPr>
                <w:rFonts w:ascii="Calibri" w:hAnsi="Calibri"/>
                <w:color w:val="000000"/>
                <w:lang w:eastAsia="en-GB"/>
              </w:rPr>
            </w:pPr>
            <w:r>
              <w:rPr>
                <w:color w:val="000000"/>
                <w:lang w:eastAsia="en-GB"/>
              </w:rPr>
              <w:t>10297</w:t>
            </w:r>
          </w:p>
        </w:tc>
      </w:tr>
      <w:tr w:rsidR="00585F92" w14:paraId="04F4BF4E" w14:textId="77777777" w:rsidTr="00775598">
        <w:trPr>
          <w:trHeight w:val="291"/>
        </w:trPr>
        <w:tc>
          <w:tcPr>
            <w:tcW w:w="211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15A17A6F" w14:textId="77777777" w:rsidR="00585F92" w:rsidRDefault="00585F92">
            <w:pPr>
              <w:rPr>
                <w:rFonts w:ascii="Calibri" w:hAnsi="Calibri"/>
                <w:color w:val="000000"/>
                <w:lang w:eastAsia="en-GB"/>
              </w:rPr>
            </w:pPr>
            <w:r>
              <w:rPr>
                <w:color w:val="000000"/>
                <w:lang w:eastAsia="en-GB"/>
              </w:rPr>
              <w:t>Durham</w:t>
            </w:r>
          </w:p>
        </w:tc>
        <w:tc>
          <w:tcPr>
            <w:tcW w:w="119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EE2A6C0" w14:textId="77777777" w:rsidR="00585F92" w:rsidRDefault="00585F92">
            <w:pPr>
              <w:jc w:val="right"/>
              <w:rPr>
                <w:rFonts w:ascii="Calibri" w:hAnsi="Calibri"/>
                <w:color w:val="000000"/>
                <w:lang w:eastAsia="en-GB"/>
              </w:rPr>
            </w:pPr>
            <w:r>
              <w:rPr>
                <w:color w:val="000000"/>
                <w:lang w:eastAsia="en-GB"/>
              </w:rPr>
              <w:t>12411</w:t>
            </w:r>
          </w:p>
        </w:tc>
        <w:tc>
          <w:tcPr>
            <w:tcW w:w="109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823F6F5" w14:textId="77777777" w:rsidR="00585F92" w:rsidRDefault="00585F92">
            <w:pPr>
              <w:jc w:val="right"/>
              <w:rPr>
                <w:rFonts w:ascii="Calibri" w:hAnsi="Calibri"/>
                <w:color w:val="000000"/>
                <w:lang w:eastAsia="en-GB"/>
              </w:rPr>
            </w:pPr>
            <w:r>
              <w:rPr>
                <w:color w:val="000000"/>
                <w:lang w:eastAsia="en-GB"/>
              </w:rPr>
              <w:t>11783</w:t>
            </w:r>
          </w:p>
        </w:tc>
        <w:tc>
          <w:tcPr>
            <w:tcW w:w="967"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6C5DB5C" w14:textId="77777777" w:rsidR="00585F92" w:rsidRDefault="00585F92">
            <w:pPr>
              <w:jc w:val="right"/>
              <w:rPr>
                <w:rFonts w:ascii="Calibri" w:hAnsi="Calibri"/>
                <w:color w:val="000000"/>
                <w:lang w:eastAsia="en-GB"/>
              </w:rPr>
            </w:pPr>
            <w:r>
              <w:rPr>
                <w:color w:val="000000"/>
                <w:lang w:eastAsia="en-GB"/>
              </w:rPr>
              <w:t>11245</w:t>
            </w:r>
          </w:p>
        </w:tc>
        <w:tc>
          <w:tcPr>
            <w:tcW w:w="967"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4F7D47C4" w14:textId="77777777" w:rsidR="00585F92" w:rsidRDefault="00585F92">
            <w:pPr>
              <w:jc w:val="right"/>
              <w:rPr>
                <w:rFonts w:ascii="Calibri" w:hAnsi="Calibri"/>
                <w:color w:val="000000"/>
                <w:lang w:eastAsia="en-GB"/>
              </w:rPr>
            </w:pPr>
            <w:r>
              <w:rPr>
                <w:color w:val="000000"/>
                <w:lang w:eastAsia="en-GB"/>
              </w:rPr>
              <w:t>9145</w:t>
            </w:r>
          </w:p>
        </w:tc>
        <w:tc>
          <w:tcPr>
            <w:tcW w:w="967"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143700E6" w14:textId="77777777" w:rsidR="00585F92" w:rsidRDefault="00585F92">
            <w:pPr>
              <w:jc w:val="right"/>
              <w:rPr>
                <w:rFonts w:ascii="Calibri" w:hAnsi="Calibri"/>
                <w:color w:val="000000"/>
                <w:lang w:eastAsia="en-GB"/>
              </w:rPr>
            </w:pPr>
            <w:r>
              <w:rPr>
                <w:color w:val="000000"/>
                <w:lang w:eastAsia="en-GB"/>
              </w:rPr>
              <w:t>8772</w:t>
            </w:r>
          </w:p>
        </w:tc>
        <w:tc>
          <w:tcPr>
            <w:tcW w:w="967"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1D2A311A" w14:textId="77777777" w:rsidR="00585F92" w:rsidRDefault="00585F92">
            <w:pPr>
              <w:jc w:val="right"/>
              <w:rPr>
                <w:rFonts w:ascii="Calibri" w:hAnsi="Calibri"/>
                <w:color w:val="000000"/>
                <w:lang w:eastAsia="en-GB"/>
              </w:rPr>
            </w:pPr>
            <w:r>
              <w:rPr>
                <w:color w:val="000000"/>
                <w:lang w:eastAsia="en-GB"/>
              </w:rPr>
              <w:t>8775</w:t>
            </w:r>
          </w:p>
        </w:tc>
        <w:tc>
          <w:tcPr>
            <w:tcW w:w="967"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76AA791A" w14:textId="77777777" w:rsidR="00585F92" w:rsidRDefault="00585F92">
            <w:pPr>
              <w:jc w:val="center"/>
              <w:rPr>
                <w:rFonts w:ascii="Calibri" w:hAnsi="Calibri"/>
                <w:color w:val="000000"/>
                <w:lang w:eastAsia="en-GB"/>
              </w:rPr>
            </w:pPr>
            <w:r>
              <w:rPr>
                <w:color w:val="000000"/>
                <w:lang w:eastAsia="en-GB"/>
              </w:rPr>
              <w:t>7530</w:t>
            </w:r>
          </w:p>
        </w:tc>
      </w:tr>
      <w:tr w:rsidR="00585F92" w14:paraId="66C53A01" w14:textId="77777777" w:rsidTr="00775598">
        <w:trPr>
          <w:trHeight w:val="304"/>
        </w:trPr>
        <w:tc>
          <w:tcPr>
            <w:tcW w:w="211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3C5BB355" w14:textId="77777777" w:rsidR="00585F92" w:rsidRDefault="00585F92">
            <w:pPr>
              <w:rPr>
                <w:rFonts w:ascii="Calibri" w:hAnsi="Calibri"/>
                <w:color w:val="000000"/>
                <w:lang w:eastAsia="en-GB"/>
              </w:rPr>
            </w:pPr>
            <w:r>
              <w:rPr>
                <w:color w:val="000000"/>
                <w:lang w:eastAsia="en-GB"/>
              </w:rPr>
              <w:t>North Yorkshire</w:t>
            </w:r>
          </w:p>
        </w:tc>
        <w:tc>
          <w:tcPr>
            <w:tcW w:w="119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4FB8CDC" w14:textId="77777777" w:rsidR="00585F92" w:rsidRDefault="00585F92">
            <w:pPr>
              <w:jc w:val="right"/>
              <w:rPr>
                <w:rFonts w:ascii="Calibri" w:hAnsi="Calibri"/>
                <w:color w:val="000000"/>
                <w:lang w:eastAsia="en-GB"/>
              </w:rPr>
            </w:pPr>
            <w:r>
              <w:rPr>
                <w:color w:val="000000"/>
                <w:lang w:eastAsia="en-GB"/>
              </w:rPr>
              <w:t>12710</w:t>
            </w:r>
          </w:p>
        </w:tc>
        <w:tc>
          <w:tcPr>
            <w:tcW w:w="109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157AA9D" w14:textId="77777777" w:rsidR="00585F92" w:rsidRDefault="00585F92">
            <w:pPr>
              <w:jc w:val="right"/>
              <w:rPr>
                <w:rFonts w:ascii="Calibri" w:hAnsi="Calibri"/>
                <w:color w:val="000000"/>
                <w:lang w:eastAsia="en-GB"/>
              </w:rPr>
            </w:pPr>
            <w:r>
              <w:rPr>
                <w:color w:val="000000"/>
                <w:lang w:eastAsia="en-GB"/>
              </w:rPr>
              <w:t>11907</w:t>
            </w:r>
          </w:p>
        </w:tc>
        <w:tc>
          <w:tcPr>
            <w:tcW w:w="967"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7B3928F1" w14:textId="77777777" w:rsidR="00585F92" w:rsidRDefault="00585F92">
            <w:pPr>
              <w:jc w:val="right"/>
              <w:rPr>
                <w:rFonts w:ascii="Calibri" w:hAnsi="Calibri"/>
                <w:color w:val="000000"/>
                <w:lang w:eastAsia="en-GB"/>
              </w:rPr>
            </w:pPr>
            <w:r>
              <w:rPr>
                <w:color w:val="000000"/>
                <w:lang w:eastAsia="en-GB"/>
              </w:rPr>
              <w:t>11677</w:t>
            </w:r>
          </w:p>
        </w:tc>
        <w:tc>
          <w:tcPr>
            <w:tcW w:w="967"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AE49292" w14:textId="77777777" w:rsidR="00585F92" w:rsidRDefault="00585F92">
            <w:pPr>
              <w:jc w:val="right"/>
              <w:rPr>
                <w:rFonts w:ascii="Calibri" w:hAnsi="Calibri"/>
                <w:color w:val="000000"/>
                <w:lang w:eastAsia="en-GB"/>
              </w:rPr>
            </w:pPr>
            <w:r>
              <w:rPr>
                <w:color w:val="000000"/>
                <w:lang w:eastAsia="en-GB"/>
              </w:rPr>
              <w:t>10742</w:t>
            </w:r>
          </w:p>
        </w:tc>
        <w:tc>
          <w:tcPr>
            <w:tcW w:w="967"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DD7CFF9" w14:textId="77777777" w:rsidR="00585F92" w:rsidRDefault="00585F92">
            <w:pPr>
              <w:jc w:val="right"/>
              <w:rPr>
                <w:rFonts w:ascii="Calibri" w:hAnsi="Calibri"/>
                <w:color w:val="000000"/>
                <w:lang w:eastAsia="en-GB"/>
              </w:rPr>
            </w:pPr>
            <w:r>
              <w:rPr>
                <w:color w:val="000000"/>
                <w:lang w:eastAsia="en-GB"/>
              </w:rPr>
              <w:t>9752</w:t>
            </w:r>
          </w:p>
        </w:tc>
        <w:tc>
          <w:tcPr>
            <w:tcW w:w="967"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B522A45" w14:textId="77777777" w:rsidR="00585F92" w:rsidRDefault="00585F92">
            <w:pPr>
              <w:jc w:val="right"/>
              <w:rPr>
                <w:rFonts w:ascii="Calibri" w:hAnsi="Calibri"/>
                <w:color w:val="000000"/>
                <w:lang w:eastAsia="en-GB"/>
              </w:rPr>
            </w:pPr>
            <w:r>
              <w:rPr>
                <w:color w:val="000000"/>
                <w:lang w:eastAsia="en-GB"/>
              </w:rPr>
              <w:t>10047</w:t>
            </w:r>
          </w:p>
        </w:tc>
        <w:tc>
          <w:tcPr>
            <w:tcW w:w="967"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A2C765B" w14:textId="77777777" w:rsidR="00585F92" w:rsidRDefault="00585F92">
            <w:pPr>
              <w:jc w:val="center"/>
              <w:rPr>
                <w:rFonts w:ascii="Calibri" w:hAnsi="Calibri"/>
                <w:color w:val="000000"/>
                <w:lang w:eastAsia="en-GB"/>
              </w:rPr>
            </w:pPr>
            <w:r>
              <w:rPr>
                <w:color w:val="000000"/>
                <w:lang w:eastAsia="en-GB"/>
              </w:rPr>
              <w:t>9231</w:t>
            </w:r>
          </w:p>
        </w:tc>
      </w:tr>
    </w:tbl>
    <w:p w14:paraId="374F1400" w14:textId="77777777" w:rsidR="002A02E4" w:rsidRDefault="002A02E4" w:rsidP="00875A21">
      <w:pPr>
        <w:jc w:val="both"/>
      </w:pPr>
    </w:p>
    <w:p w14:paraId="6FBF2375" w14:textId="77777777" w:rsidR="002A02E4" w:rsidRDefault="002A02E4" w:rsidP="00392374">
      <w:pPr>
        <w:pStyle w:val="ListParagraph"/>
        <w:ind w:left="375"/>
        <w:jc w:val="both"/>
      </w:pPr>
    </w:p>
    <w:p w14:paraId="12C02915" w14:textId="77777777" w:rsidR="002A02E4" w:rsidRDefault="002A02E4" w:rsidP="004046D5">
      <w:pPr>
        <w:pStyle w:val="ListParagraph"/>
        <w:numPr>
          <w:ilvl w:val="2"/>
          <w:numId w:val="6"/>
        </w:numPr>
        <w:jc w:val="both"/>
      </w:pPr>
      <w:r>
        <w:t xml:space="preserve">In relation to the Employer Liability claims, according to the UK Crime Statistics for March 2020 to February 2021, Cleveland Police has the highest level of crime across the collaboration, with a total of 95,990 crimes in comparison to 77,642 in Durham and 73,135 in North Yorkshire. </w:t>
      </w:r>
      <w:r w:rsidR="004046D5">
        <w:t>Our analysis is that the higher volume of claims reflects the higher number of arrests and the differences in crime pr</w:t>
      </w:r>
      <w:r w:rsidR="003A38A5">
        <w:t xml:space="preserve">ofiles across the three forces. </w:t>
      </w:r>
    </w:p>
    <w:p w14:paraId="70F4BB8E" w14:textId="77777777" w:rsidR="004046D5" w:rsidRDefault="004046D5" w:rsidP="004046D5">
      <w:pPr>
        <w:pStyle w:val="ListParagraph"/>
        <w:numPr>
          <w:ilvl w:val="2"/>
          <w:numId w:val="6"/>
        </w:numPr>
        <w:jc w:val="both"/>
      </w:pPr>
      <w:r>
        <w:t xml:space="preserve">Cleveland had substantially higher volumes during the reporting period in respect </w:t>
      </w:r>
      <w:proofErr w:type="gramStart"/>
      <w:r>
        <w:t>of:-</w:t>
      </w:r>
      <w:proofErr w:type="gramEnd"/>
    </w:p>
    <w:p w14:paraId="77CC27E0" w14:textId="77777777" w:rsidR="00D24A0F" w:rsidRDefault="00D24A0F" w:rsidP="002A02E4">
      <w:pPr>
        <w:pStyle w:val="ListParagraph"/>
        <w:ind w:left="375"/>
        <w:jc w:val="both"/>
      </w:pPr>
    </w:p>
    <w:tbl>
      <w:tblPr>
        <w:tblStyle w:val="TableGrid"/>
        <w:tblW w:w="0" w:type="auto"/>
        <w:tblInd w:w="0" w:type="dxa"/>
        <w:tblLook w:val="04A0" w:firstRow="1" w:lastRow="0" w:firstColumn="1" w:lastColumn="0" w:noHBand="0" w:noVBand="1"/>
      </w:tblPr>
      <w:tblGrid>
        <w:gridCol w:w="2518"/>
        <w:gridCol w:w="2268"/>
        <w:gridCol w:w="2268"/>
        <w:gridCol w:w="2188"/>
      </w:tblGrid>
      <w:tr w:rsidR="002A02E4" w:rsidRPr="002A02E4" w14:paraId="6F07BDB9" w14:textId="77777777" w:rsidTr="00D24A0F">
        <w:tc>
          <w:tcPr>
            <w:tcW w:w="2518" w:type="dxa"/>
          </w:tcPr>
          <w:p w14:paraId="6E22AECA" w14:textId="77777777" w:rsidR="002A02E4" w:rsidRPr="002A02E4" w:rsidRDefault="002A02E4" w:rsidP="002A02E4">
            <w:pPr>
              <w:rPr>
                <w:rFonts w:eastAsia="Times New Roman" w:cs="Times New Roman"/>
                <w:b/>
              </w:rPr>
            </w:pPr>
            <w:r w:rsidRPr="002A02E4">
              <w:rPr>
                <w:rFonts w:eastAsia="Times New Roman" w:cs="Times New Roman"/>
                <w:b/>
              </w:rPr>
              <w:t xml:space="preserve">Crime </w:t>
            </w:r>
          </w:p>
        </w:tc>
        <w:tc>
          <w:tcPr>
            <w:tcW w:w="2268" w:type="dxa"/>
          </w:tcPr>
          <w:p w14:paraId="4398634F" w14:textId="77777777" w:rsidR="002A02E4" w:rsidRPr="002A02E4" w:rsidRDefault="002A02E4" w:rsidP="002A02E4">
            <w:pPr>
              <w:rPr>
                <w:rFonts w:eastAsia="Times New Roman" w:cs="Times New Roman"/>
                <w:b/>
              </w:rPr>
            </w:pPr>
            <w:r w:rsidRPr="002A02E4">
              <w:rPr>
                <w:rFonts w:eastAsia="Times New Roman" w:cs="Times New Roman"/>
                <w:b/>
              </w:rPr>
              <w:t>Cleveland</w:t>
            </w:r>
          </w:p>
        </w:tc>
        <w:tc>
          <w:tcPr>
            <w:tcW w:w="2268" w:type="dxa"/>
          </w:tcPr>
          <w:p w14:paraId="4826A524" w14:textId="77777777" w:rsidR="002A02E4" w:rsidRPr="002A02E4" w:rsidRDefault="002A02E4" w:rsidP="002A02E4">
            <w:pPr>
              <w:rPr>
                <w:rFonts w:eastAsia="Times New Roman" w:cs="Times New Roman"/>
                <w:b/>
              </w:rPr>
            </w:pPr>
            <w:r w:rsidRPr="002A02E4">
              <w:rPr>
                <w:rFonts w:eastAsia="Times New Roman" w:cs="Times New Roman"/>
                <w:b/>
              </w:rPr>
              <w:t>Durham</w:t>
            </w:r>
          </w:p>
        </w:tc>
        <w:tc>
          <w:tcPr>
            <w:tcW w:w="2188" w:type="dxa"/>
          </w:tcPr>
          <w:p w14:paraId="0D9A2EF2" w14:textId="77777777" w:rsidR="002A02E4" w:rsidRPr="002A02E4" w:rsidRDefault="002A02E4" w:rsidP="002A02E4">
            <w:pPr>
              <w:rPr>
                <w:rFonts w:eastAsia="Times New Roman" w:cs="Times New Roman"/>
                <w:b/>
              </w:rPr>
            </w:pPr>
            <w:r w:rsidRPr="002A02E4">
              <w:rPr>
                <w:rFonts w:eastAsia="Times New Roman" w:cs="Times New Roman"/>
                <w:b/>
              </w:rPr>
              <w:t>North Yorkshire</w:t>
            </w:r>
          </w:p>
        </w:tc>
      </w:tr>
      <w:tr w:rsidR="002A02E4" w:rsidRPr="002A02E4" w14:paraId="2FD9E430" w14:textId="77777777" w:rsidTr="00D24A0F">
        <w:tc>
          <w:tcPr>
            <w:tcW w:w="2518" w:type="dxa"/>
          </w:tcPr>
          <w:p w14:paraId="17064ACF" w14:textId="77777777" w:rsidR="002A02E4" w:rsidRPr="002A02E4" w:rsidRDefault="002A02E4" w:rsidP="002A02E4">
            <w:pPr>
              <w:rPr>
                <w:rFonts w:eastAsia="Times New Roman" w:cs="Times New Roman"/>
              </w:rPr>
            </w:pPr>
            <w:r w:rsidRPr="002A02E4">
              <w:rPr>
                <w:rFonts w:eastAsia="Times New Roman" w:cs="Times New Roman"/>
              </w:rPr>
              <w:t>Drugs</w:t>
            </w:r>
          </w:p>
        </w:tc>
        <w:tc>
          <w:tcPr>
            <w:tcW w:w="2268" w:type="dxa"/>
          </w:tcPr>
          <w:p w14:paraId="6770B08D" w14:textId="77777777" w:rsidR="002A02E4" w:rsidRPr="002A02E4" w:rsidRDefault="002A02E4" w:rsidP="002A02E4">
            <w:pPr>
              <w:rPr>
                <w:rFonts w:eastAsia="Times New Roman" w:cs="Times New Roman"/>
              </w:rPr>
            </w:pPr>
            <w:r w:rsidRPr="002A02E4">
              <w:rPr>
                <w:rFonts w:eastAsia="Times New Roman" w:cs="Times New Roman"/>
              </w:rPr>
              <w:t>2,399</w:t>
            </w:r>
          </w:p>
        </w:tc>
        <w:tc>
          <w:tcPr>
            <w:tcW w:w="2268" w:type="dxa"/>
          </w:tcPr>
          <w:p w14:paraId="69320AC1" w14:textId="77777777" w:rsidR="002A02E4" w:rsidRPr="002A02E4" w:rsidRDefault="002A02E4" w:rsidP="002A02E4">
            <w:pPr>
              <w:rPr>
                <w:rFonts w:eastAsia="Times New Roman" w:cs="Times New Roman"/>
              </w:rPr>
            </w:pPr>
            <w:r w:rsidRPr="002A02E4">
              <w:rPr>
                <w:rFonts w:eastAsia="Times New Roman" w:cs="Times New Roman"/>
              </w:rPr>
              <w:t>1,476</w:t>
            </w:r>
          </w:p>
        </w:tc>
        <w:tc>
          <w:tcPr>
            <w:tcW w:w="2188" w:type="dxa"/>
          </w:tcPr>
          <w:p w14:paraId="3FD37FC8" w14:textId="77777777" w:rsidR="002A02E4" w:rsidRPr="002A02E4" w:rsidRDefault="002A02E4" w:rsidP="002A02E4">
            <w:pPr>
              <w:rPr>
                <w:rFonts w:eastAsia="Times New Roman" w:cs="Times New Roman"/>
              </w:rPr>
            </w:pPr>
            <w:r w:rsidRPr="002A02E4">
              <w:rPr>
                <w:rFonts w:eastAsia="Times New Roman" w:cs="Times New Roman"/>
              </w:rPr>
              <w:t>1,891</w:t>
            </w:r>
          </w:p>
        </w:tc>
      </w:tr>
      <w:tr w:rsidR="002A02E4" w:rsidRPr="002A02E4" w14:paraId="017C0011" w14:textId="77777777" w:rsidTr="00D24A0F">
        <w:tc>
          <w:tcPr>
            <w:tcW w:w="2518" w:type="dxa"/>
          </w:tcPr>
          <w:p w14:paraId="5513D8AF" w14:textId="77777777" w:rsidR="002A02E4" w:rsidRPr="002A02E4" w:rsidRDefault="002A02E4" w:rsidP="002A02E4">
            <w:pPr>
              <w:rPr>
                <w:rFonts w:eastAsia="Times New Roman" w:cs="Times New Roman"/>
              </w:rPr>
            </w:pPr>
            <w:r w:rsidRPr="002A02E4">
              <w:rPr>
                <w:rFonts w:eastAsia="Times New Roman" w:cs="Times New Roman"/>
              </w:rPr>
              <w:t>Burglary</w:t>
            </w:r>
          </w:p>
        </w:tc>
        <w:tc>
          <w:tcPr>
            <w:tcW w:w="2268" w:type="dxa"/>
          </w:tcPr>
          <w:p w14:paraId="756C83D8" w14:textId="77777777" w:rsidR="002A02E4" w:rsidRPr="002A02E4" w:rsidRDefault="002A02E4" w:rsidP="002A02E4">
            <w:pPr>
              <w:rPr>
                <w:rFonts w:eastAsia="Times New Roman" w:cs="Times New Roman"/>
              </w:rPr>
            </w:pPr>
            <w:r w:rsidRPr="002A02E4">
              <w:rPr>
                <w:rFonts w:eastAsia="Times New Roman" w:cs="Times New Roman"/>
              </w:rPr>
              <w:t>4,031</w:t>
            </w:r>
          </w:p>
        </w:tc>
        <w:tc>
          <w:tcPr>
            <w:tcW w:w="2268" w:type="dxa"/>
          </w:tcPr>
          <w:p w14:paraId="5F0AE03D" w14:textId="77777777" w:rsidR="002A02E4" w:rsidRPr="002A02E4" w:rsidRDefault="002A02E4" w:rsidP="002A02E4">
            <w:pPr>
              <w:rPr>
                <w:rFonts w:eastAsia="Times New Roman" w:cs="Times New Roman"/>
              </w:rPr>
            </w:pPr>
            <w:r w:rsidRPr="002A02E4">
              <w:rPr>
                <w:rFonts w:eastAsia="Times New Roman" w:cs="Times New Roman"/>
              </w:rPr>
              <w:t>2,928</w:t>
            </w:r>
          </w:p>
        </w:tc>
        <w:tc>
          <w:tcPr>
            <w:tcW w:w="2188" w:type="dxa"/>
          </w:tcPr>
          <w:p w14:paraId="3F497E38" w14:textId="77777777" w:rsidR="002A02E4" w:rsidRPr="002A02E4" w:rsidRDefault="002A02E4" w:rsidP="002A02E4">
            <w:pPr>
              <w:rPr>
                <w:rFonts w:eastAsia="Times New Roman" w:cs="Times New Roman"/>
              </w:rPr>
            </w:pPr>
            <w:r w:rsidRPr="002A02E4">
              <w:rPr>
                <w:rFonts w:eastAsia="Times New Roman" w:cs="Times New Roman"/>
              </w:rPr>
              <w:t>2,293</w:t>
            </w:r>
          </w:p>
        </w:tc>
      </w:tr>
      <w:tr w:rsidR="002A02E4" w:rsidRPr="002A02E4" w14:paraId="2871E6D1" w14:textId="77777777" w:rsidTr="00D24A0F">
        <w:tc>
          <w:tcPr>
            <w:tcW w:w="2518" w:type="dxa"/>
          </w:tcPr>
          <w:p w14:paraId="0D1B37DD" w14:textId="77777777" w:rsidR="002A02E4" w:rsidRPr="002A02E4" w:rsidRDefault="002A02E4" w:rsidP="002A02E4">
            <w:pPr>
              <w:rPr>
                <w:rFonts w:eastAsia="Times New Roman" w:cs="Times New Roman"/>
              </w:rPr>
            </w:pPr>
            <w:r w:rsidRPr="002A02E4">
              <w:rPr>
                <w:rFonts w:eastAsia="Times New Roman" w:cs="Times New Roman"/>
              </w:rPr>
              <w:t>Robbery</w:t>
            </w:r>
          </w:p>
        </w:tc>
        <w:tc>
          <w:tcPr>
            <w:tcW w:w="2268" w:type="dxa"/>
          </w:tcPr>
          <w:p w14:paraId="683AC8CA" w14:textId="77777777" w:rsidR="002A02E4" w:rsidRPr="002A02E4" w:rsidRDefault="002A02E4" w:rsidP="002A02E4">
            <w:pPr>
              <w:rPr>
                <w:rFonts w:eastAsia="Times New Roman" w:cs="Times New Roman"/>
              </w:rPr>
            </w:pPr>
            <w:r w:rsidRPr="002A02E4">
              <w:rPr>
                <w:rFonts w:eastAsia="Times New Roman" w:cs="Times New Roman"/>
              </w:rPr>
              <w:t>550</w:t>
            </w:r>
          </w:p>
        </w:tc>
        <w:tc>
          <w:tcPr>
            <w:tcW w:w="2268" w:type="dxa"/>
          </w:tcPr>
          <w:p w14:paraId="3235D8DE" w14:textId="77777777" w:rsidR="002A02E4" w:rsidRPr="002A02E4" w:rsidRDefault="002A02E4" w:rsidP="002A02E4">
            <w:pPr>
              <w:rPr>
                <w:rFonts w:eastAsia="Times New Roman" w:cs="Times New Roman"/>
              </w:rPr>
            </w:pPr>
            <w:r w:rsidRPr="002A02E4">
              <w:rPr>
                <w:rFonts w:eastAsia="Times New Roman" w:cs="Times New Roman"/>
              </w:rPr>
              <w:t>144</w:t>
            </w:r>
          </w:p>
        </w:tc>
        <w:tc>
          <w:tcPr>
            <w:tcW w:w="2188" w:type="dxa"/>
          </w:tcPr>
          <w:p w14:paraId="56CD98F6" w14:textId="77777777" w:rsidR="002A02E4" w:rsidRPr="002A02E4" w:rsidRDefault="002A02E4" w:rsidP="002A02E4">
            <w:pPr>
              <w:rPr>
                <w:rFonts w:eastAsia="Times New Roman" w:cs="Times New Roman"/>
              </w:rPr>
            </w:pPr>
            <w:r w:rsidRPr="002A02E4">
              <w:rPr>
                <w:rFonts w:eastAsia="Times New Roman" w:cs="Times New Roman"/>
              </w:rPr>
              <w:t>196</w:t>
            </w:r>
          </w:p>
        </w:tc>
      </w:tr>
      <w:tr w:rsidR="002A02E4" w:rsidRPr="002A02E4" w14:paraId="58CA0F8C" w14:textId="77777777" w:rsidTr="00D24A0F">
        <w:tc>
          <w:tcPr>
            <w:tcW w:w="2518" w:type="dxa"/>
          </w:tcPr>
          <w:p w14:paraId="34B0A469" w14:textId="77777777" w:rsidR="002A02E4" w:rsidRPr="002A02E4" w:rsidRDefault="002A02E4" w:rsidP="002A02E4">
            <w:pPr>
              <w:rPr>
                <w:rFonts w:eastAsia="Times New Roman" w:cs="Times New Roman"/>
              </w:rPr>
            </w:pPr>
            <w:proofErr w:type="spellStart"/>
            <w:r w:rsidRPr="002A02E4">
              <w:rPr>
                <w:rFonts w:eastAsia="Times New Roman" w:cs="Times New Roman"/>
              </w:rPr>
              <w:t>Poss</w:t>
            </w:r>
            <w:proofErr w:type="spellEnd"/>
            <w:r w:rsidRPr="002A02E4">
              <w:rPr>
                <w:rFonts w:eastAsia="Times New Roman" w:cs="Times New Roman"/>
              </w:rPr>
              <w:t xml:space="preserve"> of weapon</w:t>
            </w:r>
          </w:p>
        </w:tc>
        <w:tc>
          <w:tcPr>
            <w:tcW w:w="2268" w:type="dxa"/>
          </w:tcPr>
          <w:p w14:paraId="77A02ABB" w14:textId="77777777" w:rsidR="002A02E4" w:rsidRPr="002A02E4" w:rsidRDefault="002A02E4" w:rsidP="002A02E4">
            <w:pPr>
              <w:rPr>
                <w:rFonts w:eastAsia="Times New Roman" w:cs="Times New Roman"/>
              </w:rPr>
            </w:pPr>
            <w:r w:rsidRPr="002A02E4">
              <w:rPr>
                <w:rFonts w:eastAsia="Times New Roman" w:cs="Times New Roman"/>
              </w:rPr>
              <w:t>600</w:t>
            </w:r>
          </w:p>
        </w:tc>
        <w:tc>
          <w:tcPr>
            <w:tcW w:w="2268" w:type="dxa"/>
          </w:tcPr>
          <w:p w14:paraId="569438ED" w14:textId="77777777" w:rsidR="002A02E4" w:rsidRPr="002A02E4" w:rsidRDefault="002A02E4" w:rsidP="002A02E4">
            <w:pPr>
              <w:rPr>
                <w:rFonts w:eastAsia="Times New Roman" w:cs="Times New Roman"/>
              </w:rPr>
            </w:pPr>
            <w:r w:rsidRPr="002A02E4">
              <w:rPr>
                <w:rFonts w:eastAsia="Times New Roman" w:cs="Times New Roman"/>
              </w:rPr>
              <w:t>289</w:t>
            </w:r>
          </w:p>
        </w:tc>
        <w:tc>
          <w:tcPr>
            <w:tcW w:w="2188" w:type="dxa"/>
          </w:tcPr>
          <w:p w14:paraId="0F58B2A5" w14:textId="77777777" w:rsidR="002A02E4" w:rsidRPr="002A02E4" w:rsidRDefault="002A02E4" w:rsidP="002A02E4">
            <w:pPr>
              <w:rPr>
                <w:rFonts w:eastAsia="Times New Roman" w:cs="Times New Roman"/>
              </w:rPr>
            </w:pPr>
            <w:r w:rsidRPr="002A02E4">
              <w:rPr>
                <w:rFonts w:eastAsia="Times New Roman" w:cs="Times New Roman"/>
              </w:rPr>
              <w:t>408</w:t>
            </w:r>
          </w:p>
        </w:tc>
      </w:tr>
      <w:tr w:rsidR="002A02E4" w:rsidRPr="002A02E4" w14:paraId="5D6EC609" w14:textId="77777777" w:rsidTr="00D24A0F">
        <w:tc>
          <w:tcPr>
            <w:tcW w:w="2518" w:type="dxa"/>
          </w:tcPr>
          <w:p w14:paraId="5AC3631F" w14:textId="77777777" w:rsidR="002A02E4" w:rsidRPr="002A02E4" w:rsidRDefault="002A02E4" w:rsidP="002A02E4">
            <w:pPr>
              <w:rPr>
                <w:rFonts w:eastAsia="Times New Roman" w:cs="Times New Roman"/>
              </w:rPr>
            </w:pPr>
            <w:r w:rsidRPr="002A02E4">
              <w:rPr>
                <w:rFonts w:eastAsia="Times New Roman" w:cs="Times New Roman"/>
              </w:rPr>
              <w:t>Other theft</w:t>
            </w:r>
          </w:p>
        </w:tc>
        <w:tc>
          <w:tcPr>
            <w:tcW w:w="2268" w:type="dxa"/>
          </w:tcPr>
          <w:p w14:paraId="14BE805E" w14:textId="77777777" w:rsidR="002A02E4" w:rsidRPr="002A02E4" w:rsidRDefault="002A02E4" w:rsidP="002A02E4">
            <w:pPr>
              <w:rPr>
                <w:rFonts w:eastAsia="Times New Roman" w:cs="Times New Roman"/>
              </w:rPr>
            </w:pPr>
            <w:r w:rsidRPr="002A02E4">
              <w:rPr>
                <w:rFonts w:eastAsia="Times New Roman" w:cs="Times New Roman"/>
              </w:rPr>
              <w:t>4,400</w:t>
            </w:r>
          </w:p>
        </w:tc>
        <w:tc>
          <w:tcPr>
            <w:tcW w:w="2268" w:type="dxa"/>
          </w:tcPr>
          <w:p w14:paraId="6B4F6366" w14:textId="77777777" w:rsidR="002A02E4" w:rsidRPr="002A02E4" w:rsidRDefault="002A02E4" w:rsidP="002A02E4">
            <w:pPr>
              <w:rPr>
                <w:rFonts w:eastAsia="Times New Roman" w:cs="Times New Roman"/>
              </w:rPr>
            </w:pPr>
            <w:r w:rsidRPr="002A02E4">
              <w:rPr>
                <w:rFonts w:eastAsia="Times New Roman" w:cs="Times New Roman"/>
              </w:rPr>
              <w:t>3,627</w:t>
            </w:r>
          </w:p>
        </w:tc>
        <w:tc>
          <w:tcPr>
            <w:tcW w:w="2188" w:type="dxa"/>
          </w:tcPr>
          <w:p w14:paraId="5FA5244F" w14:textId="77777777" w:rsidR="002A02E4" w:rsidRPr="002A02E4" w:rsidRDefault="002A02E4" w:rsidP="002A02E4">
            <w:pPr>
              <w:rPr>
                <w:rFonts w:eastAsia="Times New Roman" w:cs="Times New Roman"/>
              </w:rPr>
            </w:pPr>
            <w:r w:rsidRPr="002A02E4">
              <w:rPr>
                <w:rFonts w:eastAsia="Times New Roman" w:cs="Times New Roman"/>
              </w:rPr>
              <w:t>3,056</w:t>
            </w:r>
          </w:p>
        </w:tc>
      </w:tr>
      <w:tr w:rsidR="002A02E4" w:rsidRPr="002A02E4" w14:paraId="6B4FC4A6" w14:textId="77777777" w:rsidTr="00D24A0F">
        <w:tc>
          <w:tcPr>
            <w:tcW w:w="2518" w:type="dxa"/>
          </w:tcPr>
          <w:p w14:paraId="7DB03137" w14:textId="77777777" w:rsidR="002A02E4" w:rsidRPr="00875A21" w:rsidRDefault="00875A21" w:rsidP="002A02E4">
            <w:pPr>
              <w:rPr>
                <w:rFonts w:eastAsia="Times New Roman" w:cs="Times New Roman"/>
              </w:rPr>
            </w:pPr>
            <w:r>
              <w:rPr>
                <w:rFonts w:eastAsia="Times New Roman" w:cs="Times New Roman"/>
              </w:rPr>
              <w:t>Total crime</w:t>
            </w:r>
          </w:p>
        </w:tc>
        <w:tc>
          <w:tcPr>
            <w:tcW w:w="2268" w:type="dxa"/>
          </w:tcPr>
          <w:p w14:paraId="6B5D0509" w14:textId="77777777" w:rsidR="002A02E4" w:rsidRPr="00875A21" w:rsidRDefault="002A02E4" w:rsidP="002A02E4">
            <w:pPr>
              <w:rPr>
                <w:rFonts w:eastAsia="Times New Roman" w:cs="Times New Roman"/>
              </w:rPr>
            </w:pPr>
            <w:r w:rsidRPr="00875A21">
              <w:rPr>
                <w:rFonts w:eastAsia="Times New Roman" w:cs="Times New Roman"/>
              </w:rPr>
              <w:t>95,990</w:t>
            </w:r>
          </w:p>
        </w:tc>
        <w:tc>
          <w:tcPr>
            <w:tcW w:w="2268" w:type="dxa"/>
          </w:tcPr>
          <w:p w14:paraId="6A97266C" w14:textId="77777777" w:rsidR="002A02E4" w:rsidRPr="00875A21" w:rsidRDefault="002A02E4" w:rsidP="002A02E4">
            <w:pPr>
              <w:rPr>
                <w:rFonts w:eastAsia="Times New Roman" w:cs="Times New Roman"/>
              </w:rPr>
            </w:pPr>
            <w:r w:rsidRPr="00875A21">
              <w:rPr>
                <w:rFonts w:eastAsia="Times New Roman" w:cs="Times New Roman"/>
              </w:rPr>
              <w:t>77,642</w:t>
            </w:r>
          </w:p>
        </w:tc>
        <w:tc>
          <w:tcPr>
            <w:tcW w:w="2188" w:type="dxa"/>
          </w:tcPr>
          <w:p w14:paraId="43A9FCB0" w14:textId="77777777" w:rsidR="002A02E4" w:rsidRPr="00875A21" w:rsidRDefault="002A02E4" w:rsidP="002A02E4">
            <w:pPr>
              <w:rPr>
                <w:rFonts w:eastAsia="Times New Roman" w:cs="Times New Roman"/>
              </w:rPr>
            </w:pPr>
            <w:r w:rsidRPr="00875A21">
              <w:rPr>
                <w:rFonts w:eastAsia="Times New Roman" w:cs="Times New Roman"/>
              </w:rPr>
              <w:t>73,135</w:t>
            </w:r>
          </w:p>
        </w:tc>
      </w:tr>
    </w:tbl>
    <w:p w14:paraId="6E3816E7" w14:textId="77777777" w:rsidR="00A40CDC" w:rsidRDefault="00A40CDC" w:rsidP="00875A21">
      <w:pPr>
        <w:jc w:val="both"/>
      </w:pPr>
    </w:p>
    <w:p w14:paraId="78D38CD5" w14:textId="77777777" w:rsidR="00177B62" w:rsidRDefault="00583B1B" w:rsidP="00875A21">
      <w:pPr>
        <w:jc w:val="both"/>
      </w:pPr>
      <w:r>
        <w:t>In conclusion, our analysis is that the higher volume of claims reflects the higher number of arrests and the differences in crime profiles across the three forces. T</w:t>
      </w:r>
      <w:r w:rsidR="00C563AB">
        <w:t>he higher rates of arrest provide</w:t>
      </w:r>
      <w:r w:rsidR="00177B62">
        <w:t xml:space="preserve"> more potential</w:t>
      </w:r>
      <w:r w:rsidR="00C563AB">
        <w:t xml:space="preserve"> opportunities</w:t>
      </w:r>
      <w:r w:rsidR="00177B62">
        <w:t xml:space="preserve"> for incidents occurring</w:t>
      </w:r>
      <w:r w:rsidR="00831AC1">
        <w:t>,</w:t>
      </w:r>
      <w:r w:rsidR="00177B62">
        <w:t xml:space="preserve"> which may lea</w:t>
      </w:r>
      <w:r>
        <w:t xml:space="preserve">d to either public or employer </w:t>
      </w:r>
      <w:r w:rsidR="00177B62">
        <w:t xml:space="preserve">liability claims. </w:t>
      </w:r>
    </w:p>
    <w:p w14:paraId="66CEBD64" w14:textId="77777777" w:rsidR="00C627B1" w:rsidRPr="0079519D" w:rsidRDefault="00C627B1" w:rsidP="00034366">
      <w:pPr>
        <w:ind w:left="360"/>
        <w:jc w:val="both"/>
        <w:rPr>
          <w:b/>
        </w:rPr>
      </w:pPr>
      <w:r w:rsidRPr="00CA74D2">
        <w:rPr>
          <w:b/>
        </w:rPr>
        <w:t>Sums paid out on Finalised Cases</w:t>
      </w:r>
    </w:p>
    <w:p w14:paraId="24448277" w14:textId="77777777" w:rsidR="000B05A7" w:rsidRDefault="00C627B1" w:rsidP="00BF7D64">
      <w:pPr>
        <w:pStyle w:val="ListParagraph"/>
        <w:numPr>
          <w:ilvl w:val="1"/>
          <w:numId w:val="6"/>
        </w:numPr>
        <w:jc w:val="both"/>
      </w:pPr>
      <w:r>
        <w:t xml:space="preserve">The Chart below summarises the payments made on claims finalised during the period. </w:t>
      </w:r>
    </w:p>
    <w:p w14:paraId="734DE09A" w14:textId="77777777" w:rsidR="00A224A7" w:rsidRDefault="00A224A7" w:rsidP="00A224A7">
      <w:pPr>
        <w:pStyle w:val="ListParagraph"/>
        <w:ind w:left="375"/>
        <w:jc w:val="both"/>
      </w:pPr>
    </w:p>
    <w:p w14:paraId="0DAE57D4" w14:textId="77777777" w:rsidR="005F300F" w:rsidRDefault="00C627B1" w:rsidP="005F300F">
      <w:pPr>
        <w:ind w:left="360"/>
      </w:pPr>
      <w:r>
        <w:rPr>
          <w:noProof/>
          <w:lang w:eastAsia="en-GB"/>
        </w:rPr>
        <w:drawing>
          <wp:inline distT="0" distB="0" distL="0" distR="0" wp14:anchorId="4AFFCC75" wp14:editId="52538A08">
            <wp:extent cx="5492750" cy="2222500"/>
            <wp:effectExtent l="0" t="0" r="12700" b="2540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746C186F" w14:textId="77777777" w:rsidR="00C627B1" w:rsidRPr="004F6B3E" w:rsidRDefault="00C627B1" w:rsidP="00367B2C">
      <w:pPr>
        <w:rPr>
          <w:b/>
        </w:rPr>
      </w:pPr>
      <w:r w:rsidRPr="00E322E1">
        <w:rPr>
          <w:b/>
        </w:rPr>
        <w:t>Trends by Financial Years</w:t>
      </w:r>
      <w:r w:rsidR="00CA74D2">
        <w:rPr>
          <w:b/>
        </w:rPr>
        <w:t xml:space="preserve"> </w:t>
      </w:r>
    </w:p>
    <w:p w14:paraId="71F251E8" w14:textId="77777777" w:rsidR="00C627B1" w:rsidRDefault="00C627B1" w:rsidP="00BF7D64">
      <w:pPr>
        <w:pStyle w:val="ListParagraph"/>
        <w:numPr>
          <w:ilvl w:val="1"/>
          <w:numId w:val="6"/>
        </w:numPr>
      </w:pPr>
      <w:r>
        <w:t xml:space="preserve">The table below summarises the fluctuations over recent years. </w:t>
      </w:r>
    </w:p>
    <w:tbl>
      <w:tblPr>
        <w:tblStyle w:val="TableGrid"/>
        <w:tblW w:w="0" w:type="auto"/>
        <w:tblInd w:w="360" w:type="dxa"/>
        <w:tblLook w:val="04A0" w:firstRow="1" w:lastRow="0" w:firstColumn="1" w:lastColumn="0" w:noHBand="0" w:noVBand="1"/>
      </w:tblPr>
      <w:tblGrid>
        <w:gridCol w:w="2218"/>
        <w:gridCol w:w="2212"/>
        <w:gridCol w:w="2217"/>
        <w:gridCol w:w="2235"/>
      </w:tblGrid>
      <w:tr w:rsidR="00C627B1" w14:paraId="0F9993D7" w14:textId="77777777" w:rsidTr="006A1E13">
        <w:tc>
          <w:tcPr>
            <w:tcW w:w="2218" w:type="dxa"/>
            <w:tcBorders>
              <w:top w:val="single" w:sz="4" w:space="0" w:color="auto"/>
              <w:left w:val="single" w:sz="4" w:space="0" w:color="auto"/>
              <w:bottom w:val="single" w:sz="4" w:space="0" w:color="auto"/>
              <w:right w:val="single" w:sz="4" w:space="0" w:color="auto"/>
            </w:tcBorders>
            <w:hideMark/>
          </w:tcPr>
          <w:p w14:paraId="783D2D96" w14:textId="77777777" w:rsidR="00C627B1" w:rsidRDefault="00C627B1">
            <w:pPr>
              <w:rPr>
                <w:b/>
              </w:rPr>
            </w:pPr>
            <w:r>
              <w:rPr>
                <w:b/>
              </w:rPr>
              <w:t>Financial Year</w:t>
            </w:r>
          </w:p>
        </w:tc>
        <w:tc>
          <w:tcPr>
            <w:tcW w:w="2212" w:type="dxa"/>
            <w:tcBorders>
              <w:top w:val="single" w:sz="4" w:space="0" w:color="auto"/>
              <w:left w:val="single" w:sz="4" w:space="0" w:color="auto"/>
              <w:bottom w:val="single" w:sz="4" w:space="0" w:color="auto"/>
              <w:right w:val="single" w:sz="4" w:space="0" w:color="auto"/>
            </w:tcBorders>
            <w:hideMark/>
          </w:tcPr>
          <w:p w14:paraId="5E0ABA84" w14:textId="77777777" w:rsidR="00C627B1" w:rsidRDefault="00C627B1">
            <w:pPr>
              <w:rPr>
                <w:b/>
              </w:rPr>
            </w:pPr>
            <w:r>
              <w:rPr>
                <w:b/>
              </w:rPr>
              <w:t xml:space="preserve">Claims received </w:t>
            </w:r>
          </w:p>
        </w:tc>
        <w:tc>
          <w:tcPr>
            <w:tcW w:w="2217" w:type="dxa"/>
            <w:tcBorders>
              <w:top w:val="single" w:sz="4" w:space="0" w:color="auto"/>
              <w:left w:val="single" w:sz="4" w:space="0" w:color="auto"/>
              <w:bottom w:val="single" w:sz="4" w:space="0" w:color="auto"/>
              <w:right w:val="single" w:sz="4" w:space="0" w:color="auto"/>
            </w:tcBorders>
            <w:hideMark/>
          </w:tcPr>
          <w:p w14:paraId="5CA250DD" w14:textId="77777777" w:rsidR="00C627B1" w:rsidRDefault="00C627B1">
            <w:pPr>
              <w:rPr>
                <w:b/>
              </w:rPr>
            </w:pPr>
            <w:r>
              <w:rPr>
                <w:b/>
              </w:rPr>
              <w:t>Total sum paid on finalised cases</w:t>
            </w:r>
            <w:r>
              <w:rPr>
                <w:rStyle w:val="FootnoteReference"/>
                <w:b/>
              </w:rPr>
              <w:footnoteReference w:id="2"/>
            </w:r>
          </w:p>
        </w:tc>
        <w:tc>
          <w:tcPr>
            <w:tcW w:w="2235" w:type="dxa"/>
            <w:tcBorders>
              <w:top w:val="single" w:sz="4" w:space="0" w:color="auto"/>
              <w:left w:val="single" w:sz="4" w:space="0" w:color="auto"/>
              <w:bottom w:val="single" w:sz="4" w:space="0" w:color="auto"/>
              <w:right w:val="single" w:sz="4" w:space="0" w:color="auto"/>
            </w:tcBorders>
            <w:hideMark/>
          </w:tcPr>
          <w:p w14:paraId="5A05123D" w14:textId="77777777" w:rsidR="00C627B1" w:rsidRDefault="00C627B1">
            <w:pPr>
              <w:rPr>
                <w:b/>
              </w:rPr>
            </w:pPr>
            <w:r>
              <w:rPr>
                <w:b/>
              </w:rPr>
              <w:t>Percentage of cases successfully defended</w:t>
            </w:r>
          </w:p>
        </w:tc>
      </w:tr>
      <w:tr w:rsidR="00C627B1" w14:paraId="2D81E7F7" w14:textId="77777777" w:rsidTr="006A1E13">
        <w:tc>
          <w:tcPr>
            <w:tcW w:w="2218" w:type="dxa"/>
            <w:tcBorders>
              <w:top w:val="single" w:sz="4" w:space="0" w:color="auto"/>
              <w:left w:val="single" w:sz="4" w:space="0" w:color="auto"/>
              <w:bottom w:val="single" w:sz="4" w:space="0" w:color="auto"/>
              <w:right w:val="single" w:sz="4" w:space="0" w:color="auto"/>
            </w:tcBorders>
            <w:hideMark/>
          </w:tcPr>
          <w:p w14:paraId="11C9653E" w14:textId="77777777" w:rsidR="00C627B1" w:rsidRDefault="00C627B1">
            <w:r>
              <w:t>01/04/09 – 31/03/10</w:t>
            </w:r>
          </w:p>
        </w:tc>
        <w:tc>
          <w:tcPr>
            <w:tcW w:w="2212" w:type="dxa"/>
            <w:tcBorders>
              <w:top w:val="single" w:sz="4" w:space="0" w:color="auto"/>
              <w:left w:val="single" w:sz="4" w:space="0" w:color="auto"/>
              <w:bottom w:val="single" w:sz="4" w:space="0" w:color="auto"/>
              <w:right w:val="single" w:sz="4" w:space="0" w:color="auto"/>
            </w:tcBorders>
            <w:hideMark/>
          </w:tcPr>
          <w:p w14:paraId="763DAF98" w14:textId="77777777" w:rsidR="00C627B1" w:rsidRDefault="00C627B1">
            <w:r>
              <w:t>136</w:t>
            </w:r>
          </w:p>
        </w:tc>
        <w:tc>
          <w:tcPr>
            <w:tcW w:w="2217" w:type="dxa"/>
            <w:tcBorders>
              <w:top w:val="single" w:sz="4" w:space="0" w:color="auto"/>
              <w:left w:val="single" w:sz="4" w:space="0" w:color="auto"/>
              <w:bottom w:val="single" w:sz="4" w:space="0" w:color="auto"/>
              <w:right w:val="single" w:sz="4" w:space="0" w:color="auto"/>
            </w:tcBorders>
            <w:hideMark/>
          </w:tcPr>
          <w:p w14:paraId="378663A3" w14:textId="77777777" w:rsidR="00C627B1" w:rsidRDefault="00C627B1">
            <w:r>
              <w:t>£386,797</w:t>
            </w:r>
          </w:p>
        </w:tc>
        <w:tc>
          <w:tcPr>
            <w:tcW w:w="2235" w:type="dxa"/>
            <w:tcBorders>
              <w:top w:val="single" w:sz="4" w:space="0" w:color="auto"/>
              <w:left w:val="single" w:sz="4" w:space="0" w:color="auto"/>
              <w:bottom w:val="single" w:sz="4" w:space="0" w:color="auto"/>
              <w:right w:val="single" w:sz="4" w:space="0" w:color="auto"/>
            </w:tcBorders>
            <w:hideMark/>
          </w:tcPr>
          <w:p w14:paraId="39A94326" w14:textId="77777777" w:rsidR="00C627B1" w:rsidRDefault="00C627B1">
            <w:r>
              <w:t>38%</w:t>
            </w:r>
          </w:p>
        </w:tc>
      </w:tr>
      <w:tr w:rsidR="00C627B1" w14:paraId="668E821D" w14:textId="77777777" w:rsidTr="006A1E13">
        <w:tc>
          <w:tcPr>
            <w:tcW w:w="2218" w:type="dxa"/>
            <w:tcBorders>
              <w:top w:val="single" w:sz="4" w:space="0" w:color="auto"/>
              <w:left w:val="single" w:sz="4" w:space="0" w:color="auto"/>
              <w:bottom w:val="single" w:sz="4" w:space="0" w:color="auto"/>
              <w:right w:val="single" w:sz="4" w:space="0" w:color="auto"/>
            </w:tcBorders>
            <w:hideMark/>
          </w:tcPr>
          <w:p w14:paraId="6BACBC6E" w14:textId="77777777" w:rsidR="00C627B1" w:rsidRDefault="00C627B1">
            <w:r>
              <w:t>01/04/10 – 31/03/11</w:t>
            </w:r>
          </w:p>
        </w:tc>
        <w:tc>
          <w:tcPr>
            <w:tcW w:w="2212" w:type="dxa"/>
            <w:tcBorders>
              <w:top w:val="single" w:sz="4" w:space="0" w:color="auto"/>
              <w:left w:val="single" w:sz="4" w:space="0" w:color="auto"/>
              <w:bottom w:val="single" w:sz="4" w:space="0" w:color="auto"/>
              <w:right w:val="single" w:sz="4" w:space="0" w:color="auto"/>
            </w:tcBorders>
            <w:hideMark/>
          </w:tcPr>
          <w:p w14:paraId="5CC5AFA9" w14:textId="77777777" w:rsidR="00C627B1" w:rsidRDefault="00C627B1">
            <w:r>
              <w:t>129</w:t>
            </w:r>
          </w:p>
        </w:tc>
        <w:tc>
          <w:tcPr>
            <w:tcW w:w="2217" w:type="dxa"/>
            <w:tcBorders>
              <w:top w:val="single" w:sz="4" w:space="0" w:color="auto"/>
              <w:left w:val="single" w:sz="4" w:space="0" w:color="auto"/>
              <w:bottom w:val="single" w:sz="4" w:space="0" w:color="auto"/>
              <w:right w:val="single" w:sz="4" w:space="0" w:color="auto"/>
            </w:tcBorders>
            <w:hideMark/>
          </w:tcPr>
          <w:p w14:paraId="26F0CF39" w14:textId="77777777" w:rsidR="00C627B1" w:rsidRDefault="00C627B1">
            <w:r>
              <w:t>£635,125</w:t>
            </w:r>
          </w:p>
        </w:tc>
        <w:tc>
          <w:tcPr>
            <w:tcW w:w="2235" w:type="dxa"/>
            <w:tcBorders>
              <w:top w:val="single" w:sz="4" w:space="0" w:color="auto"/>
              <w:left w:val="single" w:sz="4" w:space="0" w:color="auto"/>
              <w:bottom w:val="single" w:sz="4" w:space="0" w:color="auto"/>
              <w:right w:val="single" w:sz="4" w:space="0" w:color="auto"/>
            </w:tcBorders>
            <w:hideMark/>
          </w:tcPr>
          <w:p w14:paraId="7F4A759A" w14:textId="77777777" w:rsidR="00C627B1" w:rsidRDefault="00C627B1">
            <w:r>
              <w:t>47%</w:t>
            </w:r>
          </w:p>
        </w:tc>
      </w:tr>
      <w:tr w:rsidR="00C627B1" w14:paraId="3BE26651" w14:textId="77777777" w:rsidTr="006A1E13">
        <w:tc>
          <w:tcPr>
            <w:tcW w:w="2218" w:type="dxa"/>
            <w:tcBorders>
              <w:top w:val="single" w:sz="4" w:space="0" w:color="auto"/>
              <w:left w:val="single" w:sz="4" w:space="0" w:color="auto"/>
              <w:bottom w:val="single" w:sz="4" w:space="0" w:color="auto"/>
              <w:right w:val="single" w:sz="4" w:space="0" w:color="auto"/>
            </w:tcBorders>
            <w:hideMark/>
          </w:tcPr>
          <w:p w14:paraId="04228567" w14:textId="77777777" w:rsidR="00C627B1" w:rsidRDefault="00C627B1">
            <w:r>
              <w:t>01/04/11 – 31/03/12</w:t>
            </w:r>
          </w:p>
        </w:tc>
        <w:tc>
          <w:tcPr>
            <w:tcW w:w="2212" w:type="dxa"/>
            <w:tcBorders>
              <w:top w:val="single" w:sz="4" w:space="0" w:color="auto"/>
              <w:left w:val="single" w:sz="4" w:space="0" w:color="auto"/>
              <w:bottom w:val="single" w:sz="4" w:space="0" w:color="auto"/>
              <w:right w:val="single" w:sz="4" w:space="0" w:color="auto"/>
            </w:tcBorders>
            <w:hideMark/>
          </w:tcPr>
          <w:p w14:paraId="3B64855A" w14:textId="77777777" w:rsidR="00C627B1" w:rsidRDefault="00C627B1">
            <w:r>
              <w:t>134</w:t>
            </w:r>
          </w:p>
        </w:tc>
        <w:tc>
          <w:tcPr>
            <w:tcW w:w="2217" w:type="dxa"/>
            <w:tcBorders>
              <w:top w:val="single" w:sz="4" w:space="0" w:color="auto"/>
              <w:left w:val="single" w:sz="4" w:space="0" w:color="auto"/>
              <w:bottom w:val="single" w:sz="4" w:space="0" w:color="auto"/>
              <w:right w:val="single" w:sz="4" w:space="0" w:color="auto"/>
            </w:tcBorders>
            <w:hideMark/>
          </w:tcPr>
          <w:p w14:paraId="1A5CABBC" w14:textId="77777777" w:rsidR="00C627B1" w:rsidRDefault="00C627B1">
            <w:r>
              <w:t>£471,901</w:t>
            </w:r>
          </w:p>
        </w:tc>
        <w:tc>
          <w:tcPr>
            <w:tcW w:w="2235" w:type="dxa"/>
            <w:tcBorders>
              <w:top w:val="single" w:sz="4" w:space="0" w:color="auto"/>
              <w:left w:val="single" w:sz="4" w:space="0" w:color="auto"/>
              <w:bottom w:val="single" w:sz="4" w:space="0" w:color="auto"/>
              <w:right w:val="single" w:sz="4" w:space="0" w:color="auto"/>
            </w:tcBorders>
            <w:hideMark/>
          </w:tcPr>
          <w:p w14:paraId="7034FD32" w14:textId="77777777" w:rsidR="00C627B1" w:rsidRDefault="00C627B1">
            <w:r>
              <w:t>51%</w:t>
            </w:r>
          </w:p>
        </w:tc>
      </w:tr>
      <w:tr w:rsidR="00C627B1" w14:paraId="42CEBD94" w14:textId="77777777" w:rsidTr="006A1E13">
        <w:tc>
          <w:tcPr>
            <w:tcW w:w="2218" w:type="dxa"/>
            <w:tcBorders>
              <w:top w:val="single" w:sz="4" w:space="0" w:color="auto"/>
              <w:left w:val="single" w:sz="4" w:space="0" w:color="auto"/>
              <w:bottom w:val="single" w:sz="4" w:space="0" w:color="auto"/>
              <w:right w:val="single" w:sz="4" w:space="0" w:color="auto"/>
            </w:tcBorders>
            <w:hideMark/>
          </w:tcPr>
          <w:p w14:paraId="777C14B4" w14:textId="77777777" w:rsidR="00C627B1" w:rsidRDefault="00C627B1">
            <w:r>
              <w:t>01/04/12 – 31/03/13</w:t>
            </w:r>
          </w:p>
        </w:tc>
        <w:tc>
          <w:tcPr>
            <w:tcW w:w="2212" w:type="dxa"/>
            <w:tcBorders>
              <w:top w:val="single" w:sz="4" w:space="0" w:color="auto"/>
              <w:left w:val="single" w:sz="4" w:space="0" w:color="auto"/>
              <w:bottom w:val="single" w:sz="4" w:space="0" w:color="auto"/>
              <w:right w:val="single" w:sz="4" w:space="0" w:color="auto"/>
            </w:tcBorders>
            <w:hideMark/>
          </w:tcPr>
          <w:p w14:paraId="6E333114" w14:textId="77777777" w:rsidR="00C627B1" w:rsidRDefault="00C627B1">
            <w:r>
              <w:t>99</w:t>
            </w:r>
          </w:p>
        </w:tc>
        <w:tc>
          <w:tcPr>
            <w:tcW w:w="2217" w:type="dxa"/>
            <w:tcBorders>
              <w:top w:val="single" w:sz="4" w:space="0" w:color="auto"/>
              <w:left w:val="single" w:sz="4" w:space="0" w:color="auto"/>
              <w:bottom w:val="single" w:sz="4" w:space="0" w:color="auto"/>
              <w:right w:val="single" w:sz="4" w:space="0" w:color="auto"/>
            </w:tcBorders>
            <w:hideMark/>
          </w:tcPr>
          <w:p w14:paraId="3CEEB77D" w14:textId="77777777" w:rsidR="00C627B1" w:rsidRDefault="00C627B1">
            <w:r>
              <w:t>£558,123</w:t>
            </w:r>
          </w:p>
        </w:tc>
        <w:tc>
          <w:tcPr>
            <w:tcW w:w="2235" w:type="dxa"/>
            <w:tcBorders>
              <w:top w:val="single" w:sz="4" w:space="0" w:color="auto"/>
              <w:left w:val="single" w:sz="4" w:space="0" w:color="auto"/>
              <w:bottom w:val="single" w:sz="4" w:space="0" w:color="auto"/>
              <w:right w:val="single" w:sz="4" w:space="0" w:color="auto"/>
            </w:tcBorders>
            <w:hideMark/>
          </w:tcPr>
          <w:p w14:paraId="2D020D8E" w14:textId="77777777" w:rsidR="00C627B1" w:rsidRDefault="00C627B1">
            <w:r>
              <w:t>65%</w:t>
            </w:r>
          </w:p>
        </w:tc>
      </w:tr>
      <w:tr w:rsidR="00C627B1" w14:paraId="608F9915" w14:textId="77777777" w:rsidTr="006A1E13">
        <w:tc>
          <w:tcPr>
            <w:tcW w:w="2218" w:type="dxa"/>
            <w:tcBorders>
              <w:top w:val="single" w:sz="4" w:space="0" w:color="auto"/>
              <w:left w:val="single" w:sz="4" w:space="0" w:color="auto"/>
              <w:bottom w:val="single" w:sz="4" w:space="0" w:color="auto"/>
              <w:right w:val="single" w:sz="4" w:space="0" w:color="auto"/>
            </w:tcBorders>
            <w:hideMark/>
          </w:tcPr>
          <w:p w14:paraId="104BAB10" w14:textId="77777777" w:rsidR="00C627B1" w:rsidRDefault="00C627B1">
            <w:r>
              <w:t>01/04/13 – 31/03/14</w:t>
            </w:r>
          </w:p>
        </w:tc>
        <w:tc>
          <w:tcPr>
            <w:tcW w:w="2212" w:type="dxa"/>
            <w:tcBorders>
              <w:top w:val="single" w:sz="4" w:space="0" w:color="auto"/>
              <w:left w:val="single" w:sz="4" w:space="0" w:color="auto"/>
              <w:bottom w:val="single" w:sz="4" w:space="0" w:color="auto"/>
              <w:right w:val="single" w:sz="4" w:space="0" w:color="auto"/>
            </w:tcBorders>
            <w:hideMark/>
          </w:tcPr>
          <w:p w14:paraId="41EE458D" w14:textId="77777777" w:rsidR="00C627B1" w:rsidRDefault="00C627B1">
            <w:r>
              <w:t>122</w:t>
            </w:r>
          </w:p>
        </w:tc>
        <w:tc>
          <w:tcPr>
            <w:tcW w:w="2217" w:type="dxa"/>
            <w:tcBorders>
              <w:top w:val="single" w:sz="4" w:space="0" w:color="auto"/>
              <w:left w:val="single" w:sz="4" w:space="0" w:color="auto"/>
              <w:bottom w:val="single" w:sz="4" w:space="0" w:color="auto"/>
              <w:right w:val="single" w:sz="4" w:space="0" w:color="auto"/>
            </w:tcBorders>
            <w:hideMark/>
          </w:tcPr>
          <w:p w14:paraId="6CEF09A9" w14:textId="77777777" w:rsidR="00C627B1" w:rsidRDefault="00C627B1">
            <w:r>
              <w:t>£567,983</w:t>
            </w:r>
          </w:p>
        </w:tc>
        <w:tc>
          <w:tcPr>
            <w:tcW w:w="2235" w:type="dxa"/>
            <w:tcBorders>
              <w:top w:val="single" w:sz="4" w:space="0" w:color="auto"/>
              <w:left w:val="single" w:sz="4" w:space="0" w:color="auto"/>
              <w:bottom w:val="single" w:sz="4" w:space="0" w:color="auto"/>
              <w:right w:val="single" w:sz="4" w:space="0" w:color="auto"/>
            </w:tcBorders>
            <w:hideMark/>
          </w:tcPr>
          <w:p w14:paraId="295297A0" w14:textId="77777777" w:rsidR="00C627B1" w:rsidRDefault="00C627B1">
            <w:r>
              <w:t>58%</w:t>
            </w:r>
          </w:p>
        </w:tc>
      </w:tr>
      <w:tr w:rsidR="00C627B1" w14:paraId="43626CE2" w14:textId="77777777" w:rsidTr="006A1E13">
        <w:tc>
          <w:tcPr>
            <w:tcW w:w="2218" w:type="dxa"/>
            <w:tcBorders>
              <w:top w:val="single" w:sz="4" w:space="0" w:color="auto"/>
              <w:left w:val="single" w:sz="4" w:space="0" w:color="auto"/>
              <w:bottom w:val="single" w:sz="4" w:space="0" w:color="auto"/>
              <w:right w:val="single" w:sz="4" w:space="0" w:color="auto"/>
            </w:tcBorders>
            <w:hideMark/>
          </w:tcPr>
          <w:p w14:paraId="7FF0B129" w14:textId="77777777" w:rsidR="00C627B1" w:rsidRDefault="00C627B1">
            <w:r>
              <w:t>01/04/14 – 31/03/15</w:t>
            </w:r>
          </w:p>
        </w:tc>
        <w:tc>
          <w:tcPr>
            <w:tcW w:w="2212" w:type="dxa"/>
            <w:tcBorders>
              <w:top w:val="single" w:sz="4" w:space="0" w:color="auto"/>
              <w:left w:val="single" w:sz="4" w:space="0" w:color="auto"/>
              <w:bottom w:val="single" w:sz="4" w:space="0" w:color="auto"/>
              <w:right w:val="single" w:sz="4" w:space="0" w:color="auto"/>
            </w:tcBorders>
            <w:hideMark/>
          </w:tcPr>
          <w:p w14:paraId="4FC97FBC" w14:textId="77777777" w:rsidR="00C627B1" w:rsidRDefault="00C627B1">
            <w:r>
              <w:t>105</w:t>
            </w:r>
          </w:p>
        </w:tc>
        <w:tc>
          <w:tcPr>
            <w:tcW w:w="2217" w:type="dxa"/>
            <w:tcBorders>
              <w:top w:val="single" w:sz="4" w:space="0" w:color="auto"/>
              <w:left w:val="single" w:sz="4" w:space="0" w:color="auto"/>
              <w:bottom w:val="single" w:sz="4" w:space="0" w:color="auto"/>
              <w:right w:val="single" w:sz="4" w:space="0" w:color="auto"/>
            </w:tcBorders>
            <w:hideMark/>
          </w:tcPr>
          <w:p w14:paraId="0036234C" w14:textId="77777777" w:rsidR="00C627B1" w:rsidRDefault="00C627B1">
            <w:r>
              <w:t>£562,551</w:t>
            </w:r>
          </w:p>
        </w:tc>
        <w:tc>
          <w:tcPr>
            <w:tcW w:w="2235" w:type="dxa"/>
            <w:tcBorders>
              <w:top w:val="single" w:sz="4" w:space="0" w:color="auto"/>
              <w:left w:val="single" w:sz="4" w:space="0" w:color="auto"/>
              <w:bottom w:val="single" w:sz="4" w:space="0" w:color="auto"/>
              <w:right w:val="single" w:sz="4" w:space="0" w:color="auto"/>
            </w:tcBorders>
            <w:hideMark/>
          </w:tcPr>
          <w:p w14:paraId="37F4BF7A" w14:textId="77777777" w:rsidR="00C627B1" w:rsidRDefault="00C627B1">
            <w:r>
              <w:t>61%</w:t>
            </w:r>
          </w:p>
        </w:tc>
      </w:tr>
      <w:tr w:rsidR="00C627B1" w14:paraId="5B6E311F" w14:textId="77777777" w:rsidTr="006A1E13">
        <w:tc>
          <w:tcPr>
            <w:tcW w:w="2218" w:type="dxa"/>
            <w:tcBorders>
              <w:top w:val="single" w:sz="4" w:space="0" w:color="auto"/>
              <w:left w:val="single" w:sz="4" w:space="0" w:color="auto"/>
              <w:bottom w:val="single" w:sz="4" w:space="0" w:color="auto"/>
              <w:right w:val="single" w:sz="4" w:space="0" w:color="auto"/>
            </w:tcBorders>
            <w:hideMark/>
          </w:tcPr>
          <w:p w14:paraId="31F7FFDB" w14:textId="77777777" w:rsidR="00C627B1" w:rsidRDefault="00C627B1">
            <w:r>
              <w:t>01/04/15 – 31/03/16</w:t>
            </w:r>
          </w:p>
        </w:tc>
        <w:tc>
          <w:tcPr>
            <w:tcW w:w="2212" w:type="dxa"/>
            <w:tcBorders>
              <w:top w:val="single" w:sz="4" w:space="0" w:color="auto"/>
              <w:left w:val="single" w:sz="4" w:space="0" w:color="auto"/>
              <w:bottom w:val="single" w:sz="4" w:space="0" w:color="auto"/>
              <w:right w:val="single" w:sz="4" w:space="0" w:color="auto"/>
            </w:tcBorders>
            <w:hideMark/>
          </w:tcPr>
          <w:p w14:paraId="121F41AA" w14:textId="77777777" w:rsidR="00C627B1" w:rsidRDefault="00C627B1">
            <w:r>
              <w:t>115</w:t>
            </w:r>
          </w:p>
        </w:tc>
        <w:tc>
          <w:tcPr>
            <w:tcW w:w="2217" w:type="dxa"/>
            <w:tcBorders>
              <w:top w:val="single" w:sz="4" w:space="0" w:color="auto"/>
              <w:left w:val="single" w:sz="4" w:space="0" w:color="auto"/>
              <w:bottom w:val="single" w:sz="4" w:space="0" w:color="auto"/>
              <w:right w:val="single" w:sz="4" w:space="0" w:color="auto"/>
            </w:tcBorders>
            <w:hideMark/>
          </w:tcPr>
          <w:p w14:paraId="5426C6B6" w14:textId="77777777" w:rsidR="00C627B1" w:rsidRDefault="00C627B1">
            <w:r>
              <w:t>£473,966</w:t>
            </w:r>
          </w:p>
        </w:tc>
        <w:tc>
          <w:tcPr>
            <w:tcW w:w="2235" w:type="dxa"/>
            <w:tcBorders>
              <w:top w:val="single" w:sz="4" w:space="0" w:color="auto"/>
              <w:left w:val="single" w:sz="4" w:space="0" w:color="auto"/>
              <w:bottom w:val="single" w:sz="4" w:space="0" w:color="auto"/>
              <w:right w:val="single" w:sz="4" w:space="0" w:color="auto"/>
            </w:tcBorders>
            <w:hideMark/>
          </w:tcPr>
          <w:p w14:paraId="6EA2178B" w14:textId="77777777" w:rsidR="00C627B1" w:rsidRDefault="00C627B1">
            <w:r>
              <w:t>58%</w:t>
            </w:r>
          </w:p>
        </w:tc>
      </w:tr>
      <w:tr w:rsidR="00C627B1" w14:paraId="38E837AE" w14:textId="77777777" w:rsidTr="006A1E13">
        <w:tc>
          <w:tcPr>
            <w:tcW w:w="2218" w:type="dxa"/>
            <w:tcBorders>
              <w:top w:val="single" w:sz="4" w:space="0" w:color="auto"/>
              <w:left w:val="single" w:sz="4" w:space="0" w:color="auto"/>
              <w:bottom w:val="single" w:sz="4" w:space="0" w:color="auto"/>
              <w:right w:val="single" w:sz="4" w:space="0" w:color="auto"/>
            </w:tcBorders>
            <w:hideMark/>
          </w:tcPr>
          <w:p w14:paraId="2D5F5565" w14:textId="77777777" w:rsidR="00C627B1" w:rsidRDefault="00C627B1">
            <w:r>
              <w:t>01/04/16 – 31/03/17</w:t>
            </w:r>
          </w:p>
        </w:tc>
        <w:tc>
          <w:tcPr>
            <w:tcW w:w="2212" w:type="dxa"/>
            <w:tcBorders>
              <w:top w:val="single" w:sz="4" w:space="0" w:color="auto"/>
              <w:left w:val="single" w:sz="4" w:space="0" w:color="auto"/>
              <w:bottom w:val="single" w:sz="4" w:space="0" w:color="auto"/>
              <w:right w:val="single" w:sz="4" w:space="0" w:color="auto"/>
            </w:tcBorders>
            <w:hideMark/>
          </w:tcPr>
          <w:p w14:paraId="3D5BC315" w14:textId="77777777" w:rsidR="00C627B1" w:rsidRDefault="00C627B1">
            <w:r>
              <w:t>90</w:t>
            </w:r>
          </w:p>
        </w:tc>
        <w:tc>
          <w:tcPr>
            <w:tcW w:w="2217" w:type="dxa"/>
            <w:tcBorders>
              <w:top w:val="single" w:sz="4" w:space="0" w:color="auto"/>
              <w:left w:val="single" w:sz="4" w:space="0" w:color="auto"/>
              <w:bottom w:val="single" w:sz="4" w:space="0" w:color="auto"/>
              <w:right w:val="single" w:sz="4" w:space="0" w:color="auto"/>
            </w:tcBorders>
            <w:hideMark/>
          </w:tcPr>
          <w:p w14:paraId="0457C9BC" w14:textId="77777777" w:rsidR="00C627B1" w:rsidRDefault="00C627B1">
            <w:r>
              <w:t>£468,690</w:t>
            </w:r>
          </w:p>
        </w:tc>
        <w:tc>
          <w:tcPr>
            <w:tcW w:w="2235" w:type="dxa"/>
            <w:tcBorders>
              <w:top w:val="single" w:sz="4" w:space="0" w:color="auto"/>
              <w:left w:val="single" w:sz="4" w:space="0" w:color="auto"/>
              <w:bottom w:val="single" w:sz="4" w:space="0" w:color="auto"/>
              <w:right w:val="single" w:sz="4" w:space="0" w:color="auto"/>
            </w:tcBorders>
            <w:hideMark/>
          </w:tcPr>
          <w:p w14:paraId="36E2E140" w14:textId="77777777" w:rsidR="00C627B1" w:rsidRDefault="00C627B1">
            <w:r>
              <w:t>61%</w:t>
            </w:r>
          </w:p>
        </w:tc>
      </w:tr>
      <w:tr w:rsidR="00C627B1" w14:paraId="6BEAF852" w14:textId="77777777" w:rsidTr="006A1E13">
        <w:tc>
          <w:tcPr>
            <w:tcW w:w="2218" w:type="dxa"/>
            <w:tcBorders>
              <w:top w:val="single" w:sz="4" w:space="0" w:color="auto"/>
              <w:left w:val="single" w:sz="4" w:space="0" w:color="auto"/>
              <w:bottom w:val="single" w:sz="4" w:space="0" w:color="auto"/>
              <w:right w:val="single" w:sz="4" w:space="0" w:color="auto"/>
            </w:tcBorders>
            <w:hideMark/>
          </w:tcPr>
          <w:p w14:paraId="3FACE979" w14:textId="77777777" w:rsidR="00C627B1" w:rsidRDefault="00C627B1">
            <w:r>
              <w:t>01/04/17 – 31/03/18</w:t>
            </w:r>
          </w:p>
        </w:tc>
        <w:tc>
          <w:tcPr>
            <w:tcW w:w="2212" w:type="dxa"/>
            <w:tcBorders>
              <w:top w:val="single" w:sz="4" w:space="0" w:color="auto"/>
              <w:left w:val="single" w:sz="4" w:space="0" w:color="auto"/>
              <w:bottom w:val="single" w:sz="4" w:space="0" w:color="auto"/>
              <w:right w:val="single" w:sz="4" w:space="0" w:color="auto"/>
            </w:tcBorders>
            <w:hideMark/>
          </w:tcPr>
          <w:p w14:paraId="6785A9EF" w14:textId="77777777" w:rsidR="00C627B1" w:rsidRDefault="00C627B1">
            <w:r>
              <w:t>92</w:t>
            </w:r>
          </w:p>
        </w:tc>
        <w:tc>
          <w:tcPr>
            <w:tcW w:w="2217" w:type="dxa"/>
            <w:tcBorders>
              <w:top w:val="single" w:sz="4" w:space="0" w:color="auto"/>
              <w:left w:val="single" w:sz="4" w:space="0" w:color="auto"/>
              <w:bottom w:val="single" w:sz="4" w:space="0" w:color="auto"/>
              <w:right w:val="single" w:sz="4" w:space="0" w:color="auto"/>
            </w:tcBorders>
            <w:hideMark/>
          </w:tcPr>
          <w:p w14:paraId="0DD53402" w14:textId="77777777" w:rsidR="00C627B1" w:rsidRDefault="00C627B1">
            <w:r>
              <w:t>£659,684</w:t>
            </w:r>
          </w:p>
        </w:tc>
        <w:tc>
          <w:tcPr>
            <w:tcW w:w="2235" w:type="dxa"/>
            <w:tcBorders>
              <w:top w:val="single" w:sz="4" w:space="0" w:color="auto"/>
              <w:left w:val="single" w:sz="4" w:space="0" w:color="auto"/>
              <w:bottom w:val="single" w:sz="4" w:space="0" w:color="auto"/>
              <w:right w:val="single" w:sz="4" w:space="0" w:color="auto"/>
            </w:tcBorders>
            <w:hideMark/>
          </w:tcPr>
          <w:p w14:paraId="4738DFB5" w14:textId="77777777" w:rsidR="00C627B1" w:rsidRDefault="00C627B1">
            <w:r>
              <w:t>83%</w:t>
            </w:r>
          </w:p>
        </w:tc>
      </w:tr>
      <w:tr w:rsidR="00C627B1" w14:paraId="033ED843" w14:textId="77777777" w:rsidTr="006A1E13">
        <w:tc>
          <w:tcPr>
            <w:tcW w:w="2218" w:type="dxa"/>
            <w:tcBorders>
              <w:top w:val="single" w:sz="4" w:space="0" w:color="auto"/>
              <w:left w:val="single" w:sz="4" w:space="0" w:color="auto"/>
              <w:bottom w:val="single" w:sz="4" w:space="0" w:color="auto"/>
              <w:right w:val="single" w:sz="4" w:space="0" w:color="auto"/>
            </w:tcBorders>
            <w:hideMark/>
          </w:tcPr>
          <w:p w14:paraId="30454C43" w14:textId="77777777" w:rsidR="00C627B1" w:rsidRDefault="00C627B1">
            <w:r>
              <w:t>01/04/18 – 31/03/19</w:t>
            </w:r>
          </w:p>
        </w:tc>
        <w:tc>
          <w:tcPr>
            <w:tcW w:w="2212" w:type="dxa"/>
            <w:tcBorders>
              <w:top w:val="single" w:sz="4" w:space="0" w:color="auto"/>
              <w:left w:val="single" w:sz="4" w:space="0" w:color="auto"/>
              <w:bottom w:val="single" w:sz="4" w:space="0" w:color="auto"/>
              <w:right w:val="single" w:sz="4" w:space="0" w:color="auto"/>
            </w:tcBorders>
            <w:hideMark/>
          </w:tcPr>
          <w:p w14:paraId="6D8B8486" w14:textId="77777777" w:rsidR="00C627B1" w:rsidRDefault="00C627B1">
            <w:r>
              <w:t>89</w:t>
            </w:r>
          </w:p>
        </w:tc>
        <w:tc>
          <w:tcPr>
            <w:tcW w:w="2217" w:type="dxa"/>
            <w:tcBorders>
              <w:top w:val="single" w:sz="4" w:space="0" w:color="auto"/>
              <w:left w:val="single" w:sz="4" w:space="0" w:color="auto"/>
              <w:bottom w:val="single" w:sz="4" w:space="0" w:color="auto"/>
              <w:right w:val="single" w:sz="4" w:space="0" w:color="auto"/>
            </w:tcBorders>
            <w:hideMark/>
          </w:tcPr>
          <w:p w14:paraId="1C67EEE2" w14:textId="77777777" w:rsidR="00C627B1" w:rsidRDefault="00C627B1">
            <w:r>
              <w:t>£309,686</w:t>
            </w:r>
          </w:p>
        </w:tc>
        <w:tc>
          <w:tcPr>
            <w:tcW w:w="2235" w:type="dxa"/>
            <w:tcBorders>
              <w:top w:val="single" w:sz="4" w:space="0" w:color="auto"/>
              <w:left w:val="single" w:sz="4" w:space="0" w:color="auto"/>
              <w:bottom w:val="single" w:sz="4" w:space="0" w:color="auto"/>
              <w:right w:val="single" w:sz="4" w:space="0" w:color="auto"/>
            </w:tcBorders>
            <w:hideMark/>
          </w:tcPr>
          <w:p w14:paraId="5A4424A6" w14:textId="77777777" w:rsidR="00C627B1" w:rsidRDefault="00C627B1">
            <w:r>
              <w:t>76%</w:t>
            </w:r>
          </w:p>
        </w:tc>
      </w:tr>
      <w:tr w:rsidR="00F541F1" w14:paraId="6C6DFDCD" w14:textId="77777777" w:rsidTr="006A1E13">
        <w:tc>
          <w:tcPr>
            <w:tcW w:w="2218" w:type="dxa"/>
            <w:tcBorders>
              <w:top w:val="single" w:sz="4" w:space="0" w:color="auto"/>
              <w:left w:val="single" w:sz="4" w:space="0" w:color="auto"/>
              <w:bottom w:val="single" w:sz="4" w:space="0" w:color="auto"/>
              <w:right w:val="single" w:sz="4" w:space="0" w:color="auto"/>
            </w:tcBorders>
          </w:tcPr>
          <w:p w14:paraId="1CFB41A8" w14:textId="77777777" w:rsidR="00F541F1" w:rsidRDefault="00F541F1" w:rsidP="00975BE8">
            <w:r>
              <w:t xml:space="preserve">01/04/19 – </w:t>
            </w:r>
            <w:r w:rsidR="004F6B3E">
              <w:t>31/03/20</w:t>
            </w:r>
          </w:p>
        </w:tc>
        <w:tc>
          <w:tcPr>
            <w:tcW w:w="2212" w:type="dxa"/>
            <w:tcBorders>
              <w:top w:val="single" w:sz="4" w:space="0" w:color="auto"/>
              <w:left w:val="single" w:sz="4" w:space="0" w:color="auto"/>
              <w:bottom w:val="single" w:sz="4" w:space="0" w:color="auto"/>
              <w:right w:val="single" w:sz="4" w:space="0" w:color="auto"/>
            </w:tcBorders>
          </w:tcPr>
          <w:p w14:paraId="6E12902A" w14:textId="77777777" w:rsidR="00F541F1" w:rsidRPr="00CF36FE" w:rsidRDefault="004F6B3E">
            <w:r>
              <w:t>71</w:t>
            </w:r>
          </w:p>
        </w:tc>
        <w:tc>
          <w:tcPr>
            <w:tcW w:w="2217" w:type="dxa"/>
            <w:tcBorders>
              <w:top w:val="single" w:sz="4" w:space="0" w:color="auto"/>
              <w:left w:val="single" w:sz="4" w:space="0" w:color="auto"/>
              <w:bottom w:val="single" w:sz="4" w:space="0" w:color="auto"/>
              <w:right w:val="single" w:sz="4" w:space="0" w:color="auto"/>
            </w:tcBorders>
          </w:tcPr>
          <w:p w14:paraId="59318CB3" w14:textId="77777777" w:rsidR="00F541F1" w:rsidRPr="00CF36FE" w:rsidRDefault="004F6B3E" w:rsidP="00180DE4">
            <w:r>
              <w:t>£</w:t>
            </w:r>
            <w:r w:rsidR="00144CE1">
              <w:t>281,113</w:t>
            </w:r>
          </w:p>
        </w:tc>
        <w:tc>
          <w:tcPr>
            <w:tcW w:w="2235" w:type="dxa"/>
            <w:tcBorders>
              <w:top w:val="single" w:sz="4" w:space="0" w:color="auto"/>
              <w:left w:val="single" w:sz="4" w:space="0" w:color="auto"/>
              <w:bottom w:val="single" w:sz="4" w:space="0" w:color="auto"/>
              <w:right w:val="single" w:sz="4" w:space="0" w:color="auto"/>
            </w:tcBorders>
          </w:tcPr>
          <w:p w14:paraId="5CEF892A" w14:textId="77777777" w:rsidR="00F541F1" w:rsidRDefault="00A27766">
            <w:r>
              <w:t>48%</w:t>
            </w:r>
          </w:p>
        </w:tc>
      </w:tr>
      <w:tr w:rsidR="002B2B2C" w14:paraId="516116BF" w14:textId="77777777" w:rsidTr="006A1E13">
        <w:tc>
          <w:tcPr>
            <w:tcW w:w="2218" w:type="dxa"/>
            <w:tcBorders>
              <w:top w:val="single" w:sz="4" w:space="0" w:color="auto"/>
              <w:left w:val="single" w:sz="4" w:space="0" w:color="auto"/>
              <w:bottom w:val="single" w:sz="4" w:space="0" w:color="auto"/>
              <w:right w:val="single" w:sz="4" w:space="0" w:color="auto"/>
            </w:tcBorders>
          </w:tcPr>
          <w:p w14:paraId="52AE90BE" w14:textId="77777777" w:rsidR="002B2B2C" w:rsidRDefault="002B2B2C" w:rsidP="00975BE8">
            <w:r>
              <w:t xml:space="preserve">01/04/20 </w:t>
            </w:r>
            <w:r w:rsidR="009406F3">
              <w:t>–</w:t>
            </w:r>
            <w:r>
              <w:t xml:space="preserve"> </w:t>
            </w:r>
            <w:r w:rsidR="00CA73AD">
              <w:t>31/</w:t>
            </w:r>
            <w:r w:rsidR="0038705E">
              <w:t>0</w:t>
            </w:r>
            <w:r w:rsidR="00CA73AD">
              <w:t>3/21</w:t>
            </w:r>
          </w:p>
        </w:tc>
        <w:tc>
          <w:tcPr>
            <w:tcW w:w="2212" w:type="dxa"/>
            <w:tcBorders>
              <w:top w:val="single" w:sz="4" w:space="0" w:color="auto"/>
              <w:left w:val="single" w:sz="4" w:space="0" w:color="auto"/>
              <w:bottom w:val="single" w:sz="4" w:space="0" w:color="auto"/>
              <w:right w:val="single" w:sz="4" w:space="0" w:color="auto"/>
            </w:tcBorders>
          </w:tcPr>
          <w:p w14:paraId="0DF398D3" w14:textId="77777777" w:rsidR="002B2B2C" w:rsidRDefault="00CA74D2">
            <w:r w:rsidRPr="003C1E66">
              <w:t>73</w:t>
            </w:r>
          </w:p>
        </w:tc>
        <w:tc>
          <w:tcPr>
            <w:tcW w:w="2217" w:type="dxa"/>
            <w:tcBorders>
              <w:top w:val="single" w:sz="4" w:space="0" w:color="auto"/>
              <w:left w:val="single" w:sz="4" w:space="0" w:color="auto"/>
              <w:bottom w:val="single" w:sz="4" w:space="0" w:color="auto"/>
              <w:right w:val="single" w:sz="4" w:space="0" w:color="auto"/>
            </w:tcBorders>
          </w:tcPr>
          <w:p w14:paraId="553A9B49" w14:textId="77777777" w:rsidR="002B2B2C" w:rsidRDefault="003F1395" w:rsidP="00CA74D2">
            <w:r>
              <w:t>£211,179</w:t>
            </w:r>
          </w:p>
        </w:tc>
        <w:tc>
          <w:tcPr>
            <w:tcW w:w="2235" w:type="dxa"/>
            <w:tcBorders>
              <w:top w:val="single" w:sz="4" w:space="0" w:color="auto"/>
              <w:left w:val="single" w:sz="4" w:space="0" w:color="auto"/>
              <w:bottom w:val="single" w:sz="4" w:space="0" w:color="auto"/>
              <w:right w:val="single" w:sz="4" w:space="0" w:color="auto"/>
            </w:tcBorders>
          </w:tcPr>
          <w:p w14:paraId="4464280B" w14:textId="77777777" w:rsidR="002B2B2C" w:rsidRDefault="00F463EB">
            <w:r>
              <w:t>86%</w:t>
            </w:r>
          </w:p>
        </w:tc>
      </w:tr>
    </w:tbl>
    <w:p w14:paraId="14B274AE" w14:textId="77777777" w:rsidR="003A38A5" w:rsidRDefault="003A38A5" w:rsidP="00177B62"/>
    <w:p w14:paraId="1D330224" w14:textId="77777777" w:rsidR="003A38A5" w:rsidRDefault="003A38A5" w:rsidP="00C71733">
      <w:pPr>
        <w:ind w:left="360"/>
      </w:pPr>
    </w:p>
    <w:p w14:paraId="48E5EB21" w14:textId="77777777" w:rsidR="00C627B1" w:rsidRPr="00511719" w:rsidRDefault="00C627B1" w:rsidP="00367B2C">
      <w:pPr>
        <w:jc w:val="both"/>
        <w:rPr>
          <w:b/>
        </w:rPr>
      </w:pPr>
      <w:r w:rsidRPr="00511719">
        <w:rPr>
          <w:b/>
        </w:rPr>
        <w:t>Exception Reports</w:t>
      </w:r>
    </w:p>
    <w:p w14:paraId="377A38D7" w14:textId="77777777" w:rsidR="00C627B1" w:rsidRDefault="00C627B1" w:rsidP="00BF7D64">
      <w:pPr>
        <w:pStyle w:val="ListParagraph"/>
        <w:numPr>
          <w:ilvl w:val="1"/>
          <w:numId w:val="6"/>
        </w:numPr>
        <w:jc w:val="both"/>
      </w:pPr>
      <w:r>
        <w:t>The Chief Constable has agreed to provide the Police and Crime Commissioner (PCC) with an exception report following the settlement of a civil claim case which meets either of the following criteria:</w:t>
      </w:r>
    </w:p>
    <w:p w14:paraId="66E36080" w14:textId="77777777" w:rsidR="00C627B1" w:rsidRDefault="00C627B1" w:rsidP="00034366">
      <w:pPr>
        <w:pStyle w:val="ListParagraph"/>
        <w:numPr>
          <w:ilvl w:val="0"/>
          <w:numId w:val="2"/>
        </w:numPr>
        <w:jc w:val="both"/>
      </w:pPr>
      <w:r>
        <w:t>The case has been defended by the Force but has been lost at trial</w:t>
      </w:r>
    </w:p>
    <w:p w14:paraId="3BFA0AE2" w14:textId="77777777" w:rsidR="00367B2C" w:rsidRDefault="00C627B1" w:rsidP="00367B2C">
      <w:pPr>
        <w:pStyle w:val="ListParagraph"/>
        <w:numPr>
          <w:ilvl w:val="0"/>
          <w:numId w:val="2"/>
        </w:numPr>
        <w:jc w:val="both"/>
      </w:pPr>
      <w:r>
        <w:t>The amount payable in finalising the case is above the insurance ‘excess’ for that claim.</w:t>
      </w:r>
    </w:p>
    <w:p w14:paraId="028047AA" w14:textId="77777777" w:rsidR="00D94FFE" w:rsidRDefault="00D94FFE" w:rsidP="00D94FFE">
      <w:pPr>
        <w:pStyle w:val="ListParagraph"/>
        <w:jc w:val="both"/>
      </w:pPr>
    </w:p>
    <w:p w14:paraId="0E49E3C8" w14:textId="77777777" w:rsidR="00005A19" w:rsidRDefault="00C627B1" w:rsidP="00BF7D64">
      <w:pPr>
        <w:pStyle w:val="ListParagraph"/>
        <w:numPr>
          <w:ilvl w:val="1"/>
          <w:numId w:val="6"/>
        </w:numPr>
        <w:jc w:val="both"/>
      </w:pPr>
      <w:r>
        <w:t>In addition, it was agreed that the exception reports submitted to the PCC would be appended to the Civil Claims report presented to the Audit Committee for their information.</w:t>
      </w:r>
      <w:r w:rsidR="00005A19">
        <w:t xml:space="preserve"> There are no Exception Reports for this period. </w:t>
      </w:r>
    </w:p>
    <w:p w14:paraId="43B42AC7" w14:textId="77777777" w:rsidR="00A224A7" w:rsidRDefault="00A224A7" w:rsidP="00A224A7">
      <w:pPr>
        <w:pStyle w:val="ListParagraph"/>
        <w:ind w:left="375"/>
        <w:jc w:val="both"/>
      </w:pPr>
    </w:p>
    <w:p w14:paraId="71D9EAD5" w14:textId="77777777" w:rsidR="00C627B1" w:rsidRPr="009F52BE" w:rsidRDefault="00C627B1" w:rsidP="00367B2C">
      <w:pPr>
        <w:jc w:val="both"/>
        <w:rPr>
          <w:b/>
        </w:rPr>
      </w:pPr>
      <w:r w:rsidRPr="009F52BE">
        <w:rPr>
          <w:b/>
        </w:rPr>
        <w:t xml:space="preserve">Implications </w:t>
      </w:r>
    </w:p>
    <w:p w14:paraId="5012E5B7" w14:textId="77777777" w:rsidR="00C627B1" w:rsidRDefault="00C627B1" w:rsidP="00367B2C">
      <w:pPr>
        <w:jc w:val="both"/>
        <w:rPr>
          <w:u w:val="single"/>
        </w:rPr>
      </w:pPr>
      <w:r>
        <w:rPr>
          <w:u w:val="single"/>
        </w:rPr>
        <w:t>Finance</w:t>
      </w:r>
    </w:p>
    <w:p w14:paraId="00036C89" w14:textId="77777777" w:rsidR="00C627B1" w:rsidRDefault="00C627B1" w:rsidP="00BF7D64">
      <w:pPr>
        <w:pStyle w:val="ListParagraph"/>
        <w:numPr>
          <w:ilvl w:val="1"/>
          <w:numId w:val="6"/>
        </w:numPr>
        <w:jc w:val="both"/>
      </w:pPr>
      <w:r>
        <w:t>In relation to insured risks, none of the claims finalised exceeded the ‘excess’.</w:t>
      </w:r>
    </w:p>
    <w:p w14:paraId="1E676916" w14:textId="77777777" w:rsidR="00367B2C" w:rsidRDefault="00367B2C" w:rsidP="00367B2C">
      <w:pPr>
        <w:pStyle w:val="ListParagraph"/>
        <w:ind w:left="360"/>
        <w:jc w:val="both"/>
      </w:pPr>
      <w:r>
        <w:t xml:space="preserve"> </w:t>
      </w:r>
    </w:p>
    <w:p w14:paraId="00373602" w14:textId="77777777" w:rsidR="00C627B1" w:rsidRDefault="00367B2C" w:rsidP="00BF7D64">
      <w:pPr>
        <w:pStyle w:val="ListParagraph"/>
        <w:numPr>
          <w:ilvl w:val="1"/>
          <w:numId w:val="6"/>
        </w:numPr>
        <w:jc w:val="both"/>
      </w:pPr>
      <w:r>
        <w:t>A</w:t>
      </w:r>
      <w:r w:rsidR="00C627B1">
        <w:t>lthough the sums paid out for insured risks outweigh the sums recovered, savings (in terms of potential damages) have been made in those cases successfully defended and savings (in terms of solicitor’s costs) have been made by dealing with claims in-house.</w:t>
      </w:r>
    </w:p>
    <w:p w14:paraId="611F90D3" w14:textId="77777777" w:rsidR="00C627B1" w:rsidRDefault="00C627B1" w:rsidP="00367B2C">
      <w:pPr>
        <w:jc w:val="both"/>
        <w:rPr>
          <w:u w:val="single"/>
        </w:rPr>
      </w:pPr>
      <w:r>
        <w:rPr>
          <w:u w:val="single"/>
        </w:rPr>
        <w:t>Diversity &amp; Equal Opportunities</w:t>
      </w:r>
    </w:p>
    <w:p w14:paraId="1303E9A7" w14:textId="77777777" w:rsidR="00C627B1" w:rsidRDefault="00C627B1" w:rsidP="00BF7D64">
      <w:pPr>
        <w:pStyle w:val="ListParagraph"/>
        <w:numPr>
          <w:ilvl w:val="1"/>
          <w:numId w:val="6"/>
        </w:numPr>
        <w:jc w:val="both"/>
      </w:pPr>
      <w:r>
        <w:t xml:space="preserve">There are no diversity or equal opportunities implications arising from the content of this report. </w:t>
      </w:r>
    </w:p>
    <w:p w14:paraId="18276092" w14:textId="77777777" w:rsidR="00C627B1" w:rsidRDefault="00C627B1" w:rsidP="00367B2C">
      <w:pPr>
        <w:jc w:val="both"/>
        <w:rPr>
          <w:u w:val="single"/>
        </w:rPr>
      </w:pPr>
      <w:r>
        <w:rPr>
          <w:u w:val="single"/>
        </w:rPr>
        <w:t>Human Rights Act</w:t>
      </w:r>
    </w:p>
    <w:p w14:paraId="39B07DA8" w14:textId="77777777" w:rsidR="00C627B1" w:rsidRDefault="00C627B1" w:rsidP="00BF7D64">
      <w:pPr>
        <w:pStyle w:val="ListParagraph"/>
        <w:numPr>
          <w:ilvl w:val="1"/>
          <w:numId w:val="6"/>
        </w:numPr>
        <w:jc w:val="both"/>
      </w:pPr>
      <w:r>
        <w:t>There are no Human Rights Act implications arising from the content of this report.</w:t>
      </w:r>
    </w:p>
    <w:p w14:paraId="42D16DD9" w14:textId="77777777" w:rsidR="00C627B1" w:rsidRDefault="00C627B1" w:rsidP="00367B2C">
      <w:pPr>
        <w:jc w:val="both"/>
        <w:rPr>
          <w:u w:val="single"/>
        </w:rPr>
      </w:pPr>
      <w:r>
        <w:rPr>
          <w:u w:val="single"/>
        </w:rPr>
        <w:t>Sustainability</w:t>
      </w:r>
    </w:p>
    <w:p w14:paraId="776FF32C" w14:textId="77777777" w:rsidR="00367B2C" w:rsidRDefault="00367B2C" w:rsidP="00367B2C">
      <w:pPr>
        <w:jc w:val="both"/>
      </w:pPr>
      <w:r>
        <w:t>1.33</w:t>
      </w:r>
      <w:r>
        <w:tab/>
        <w:t>T</w:t>
      </w:r>
      <w:r w:rsidR="00C627B1">
        <w:t xml:space="preserve">here are no sustainability implications arising from the content of this report. </w:t>
      </w:r>
    </w:p>
    <w:p w14:paraId="1CD0DAEB" w14:textId="77777777" w:rsidR="00C627B1" w:rsidRDefault="00C627B1" w:rsidP="00367B2C">
      <w:pPr>
        <w:jc w:val="both"/>
        <w:rPr>
          <w:u w:val="single"/>
        </w:rPr>
      </w:pPr>
      <w:r>
        <w:rPr>
          <w:u w:val="single"/>
        </w:rPr>
        <w:t>Risk</w:t>
      </w:r>
    </w:p>
    <w:p w14:paraId="136B2DA2" w14:textId="77777777" w:rsidR="00367B2C" w:rsidRDefault="00C627B1" w:rsidP="006F52D8">
      <w:pPr>
        <w:pStyle w:val="ListParagraph"/>
        <w:numPr>
          <w:ilvl w:val="1"/>
          <w:numId w:val="6"/>
        </w:numPr>
        <w:jc w:val="both"/>
      </w:pPr>
      <w:r>
        <w:t>There are reputational and financial risk implications arising from this report as clearly enforcing the law, i.e. exercising statutory powers to arrest, search, detain and prosecute, has inherit risks that should be mitigated against through effective training, review, risk management, ‘lessons learned’ activities and peer review/inspection.</w:t>
      </w:r>
    </w:p>
    <w:p w14:paraId="11C2658A" w14:textId="77777777" w:rsidR="004F0AD7" w:rsidRDefault="004F0AD7" w:rsidP="004F0AD7">
      <w:pPr>
        <w:pStyle w:val="ListParagraph"/>
        <w:ind w:left="375"/>
        <w:jc w:val="both"/>
      </w:pPr>
    </w:p>
    <w:p w14:paraId="69BE0FC2" w14:textId="77777777" w:rsidR="00367B2C" w:rsidRDefault="00367B2C" w:rsidP="00BF7D64">
      <w:pPr>
        <w:pStyle w:val="ListParagraph"/>
        <w:numPr>
          <w:ilvl w:val="1"/>
          <w:numId w:val="6"/>
        </w:numPr>
        <w:jc w:val="both"/>
      </w:pPr>
      <w:r>
        <w:t>T</w:t>
      </w:r>
      <w:r w:rsidR="00C627B1">
        <w:t xml:space="preserve">he Force has detailed policy and procedures that govern and direct the activities of individuals in areas of risk i.e. police use of motor vehicles, detention in custody, the police use of force and our operational firearms response. In all these areas the regular review of litigation cases and other </w:t>
      </w:r>
      <w:proofErr w:type="gramStart"/>
      <w:r w:rsidR="00C627B1">
        <w:t>high profile</w:t>
      </w:r>
      <w:proofErr w:type="gramEnd"/>
      <w:r w:rsidR="00C627B1">
        <w:t xml:space="preserve"> operations takes place within policy forums to improve professional practice, led by respective chief officers. </w:t>
      </w:r>
    </w:p>
    <w:p w14:paraId="3B6F8142" w14:textId="77777777" w:rsidR="00367B2C" w:rsidRDefault="00367B2C" w:rsidP="00367B2C">
      <w:pPr>
        <w:pStyle w:val="ListParagraph"/>
        <w:ind w:left="360"/>
        <w:jc w:val="both"/>
      </w:pPr>
    </w:p>
    <w:p w14:paraId="3FBE9D83" w14:textId="77777777" w:rsidR="00C627B1" w:rsidRDefault="00C627B1" w:rsidP="00BF7D64">
      <w:pPr>
        <w:pStyle w:val="ListParagraph"/>
        <w:numPr>
          <w:ilvl w:val="1"/>
          <w:numId w:val="6"/>
        </w:numPr>
        <w:jc w:val="both"/>
      </w:pPr>
      <w:r>
        <w:t xml:space="preserve">Finally, our responsibility as an employer is also an area of litigation and cost where we seek to minimise risk and discharge our duties as a lawful, responsible and diligent employer. </w:t>
      </w:r>
    </w:p>
    <w:p w14:paraId="0EAD90F2" w14:textId="77777777" w:rsidR="000C4458" w:rsidRDefault="000C4458" w:rsidP="000C4458">
      <w:pPr>
        <w:pStyle w:val="ListParagraph"/>
      </w:pPr>
    </w:p>
    <w:p w14:paraId="339E4C09" w14:textId="77777777" w:rsidR="000C4458" w:rsidRDefault="000C4458" w:rsidP="00BF7D64">
      <w:pPr>
        <w:pStyle w:val="ListParagraph"/>
        <w:numPr>
          <w:ilvl w:val="1"/>
          <w:numId w:val="6"/>
        </w:numPr>
        <w:jc w:val="both"/>
      </w:pPr>
      <w:r>
        <w:t xml:space="preserve">High and sustained demand on the employment and civil litigation matters combined with the impact of reduced court sessions and slower case progression will have a likely impact on the next reporting period. This is likely to result in an increase in the use of external legal providers with associated expenditure. Evolve Legal Services has in place some mitigations in respect of minimising the impact of this. </w:t>
      </w:r>
      <w:r w:rsidR="006034C6">
        <w:t>The Finance B</w:t>
      </w:r>
      <w:r w:rsidR="008B2F56">
        <w:t>usiness Partner has been advised of</w:t>
      </w:r>
      <w:r w:rsidR="006034C6">
        <w:t xml:space="preserve"> likely increases and we also have governance arrangements in place whereby monthly budget meetings are held between the Force Solicitor, Practice Manager and Finance Business Partner to provide updates in relation to any increases in expenditure.</w:t>
      </w:r>
      <w:r w:rsidR="00831AC1">
        <w:t xml:space="preserve"> Legal Services also provide</w:t>
      </w:r>
      <w:r w:rsidR="00D90B63">
        <w:t xml:space="preserve"> a </w:t>
      </w:r>
      <w:proofErr w:type="gramStart"/>
      <w:r w:rsidR="00D90B63">
        <w:t>non insured</w:t>
      </w:r>
      <w:proofErr w:type="gramEnd"/>
      <w:r w:rsidR="00D90B63">
        <w:t xml:space="preserve"> reserves list to Finance. </w:t>
      </w:r>
    </w:p>
    <w:p w14:paraId="5AD7D0FB" w14:textId="77777777" w:rsidR="00C627B1" w:rsidRPr="00511719" w:rsidRDefault="00C627B1" w:rsidP="00D94FFE">
      <w:pPr>
        <w:jc w:val="both"/>
        <w:rPr>
          <w:b/>
        </w:rPr>
      </w:pPr>
      <w:r w:rsidRPr="00511719">
        <w:rPr>
          <w:b/>
        </w:rPr>
        <w:t>Conclusions</w:t>
      </w:r>
    </w:p>
    <w:p w14:paraId="2479139D" w14:textId="77777777" w:rsidR="009F0515" w:rsidRDefault="00C627B1" w:rsidP="00BF7D64">
      <w:pPr>
        <w:pStyle w:val="ListParagraph"/>
        <w:numPr>
          <w:ilvl w:val="1"/>
          <w:numId w:val="6"/>
        </w:numPr>
        <w:jc w:val="both"/>
      </w:pPr>
      <w:r>
        <w:t xml:space="preserve">Whilst Legal Services have no control over the number of claims received, feedback is provided on a case by case basis to ensure assistance is given to Service Units in managing risks. At the strategic level the Force takes its ‘risk’ around civil litigation very seriously and works tirelessly to ensure that ‘liability’ is reduced wherever possible and that the ‘lesson learnt’ from finalised cases are integrated into operational and organisational planning and delivery. </w:t>
      </w:r>
    </w:p>
    <w:p w14:paraId="53F22D20" w14:textId="77777777" w:rsidR="004046D5" w:rsidRDefault="004046D5" w:rsidP="00D94FFE">
      <w:pPr>
        <w:jc w:val="both"/>
        <w:rPr>
          <w:sz w:val="20"/>
        </w:rPr>
      </w:pPr>
    </w:p>
    <w:p w14:paraId="0CB9FC38" w14:textId="77777777" w:rsidR="00476A8D" w:rsidRPr="00476A8D" w:rsidRDefault="00476A8D" w:rsidP="00D94FFE">
      <w:pPr>
        <w:jc w:val="both"/>
        <w:rPr>
          <w:sz w:val="20"/>
        </w:rPr>
      </w:pPr>
      <w:r w:rsidRPr="00476A8D">
        <w:rPr>
          <w:sz w:val="20"/>
        </w:rPr>
        <w:t>Originator of report</w:t>
      </w:r>
    </w:p>
    <w:p w14:paraId="560DB0C8" w14:textId="77777777" w:rsidR="00953781" w:rsidRPr="00476A8D" w:rsidRDefault="00953781" w:rsidP="00D94FFE">
      <w:pPr>
        <w:jc w:val="both"/>
        <w:rPr>
          <w:sz w:val="20"/>
        </w:rPr>
      </w:pPr>
      <w:r w:rsidRPr="00476A8D">
        <w:rPr>
          <w:sz w:val="20"/>
        </w:rPr>
        <w:t>Samantha Rumins</w:t>
      </w:r>
    </w:p>
    <w:p w14:paraId="6643CA96" w14:textId="77777777" w:rsidR="00953781" w:rsidRPr="00476A8D" w:rsidRDefault="00405D8A" w:rsidP="00D94FFE">
      <w:pPr>
        <w:jc w:val="both"/>
        <w:rPr>
          <w:sz w:val="20"/>
        </w:rPr>
      </w:pPr>
      <w:r>
        <w:rPr>
          <w:sz w:val="20"/>
        </w:rPr>
        <w:t>7</w:t>
      </w:r>
      <w:r w:rsidRPr="00405D8A">
        <w:rPr>
          <w:sz w:val="20"/>
          <w:vertAlign w:val="superscript"/>
        </w:rPr>
        <w:t>th</w:t>
      </w:r>
      <w:r>
        <w:rPr>
          <w:sz w:val="20"/>
        </w:rPr>
        <w:t xml:space="preserve"> J</w:t>
      </w:r>
      <w:r w:rsidR="008B6290">
        <w:rPr>
          <w:sz w:val="20"/>
        </w:rPr>
        <w:t xml:space="preserve">une 2021 </w:t>
      </w:r>
    </w:p>
    <w:sectPr w:rsidR="00953781" w:rsidRPr="00476A8D" w:rsidSect="00F04B5A">
      <w:headerReference w:type="default" r:id="rId14"/>
      <w:footerReference w:type="default" r:id="rId15"/>
      <w:pgSz w:w="11906" w:h="16838"/>
      <w:pgMar w:top="1440" w:right="1440" w:bottom="1135"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C77C0E" w14:textId="77777777" w:rsidR="001A7B60" w:rsidRDefault="001A7B60" w:rsidP="00C627B1">
      <w:pPr>
        <w:spacing w:after="0" w:line="240" w:lineRule="auto"/>
      </w:pPr>
      <w:r>
        <w:separator/>
      </w:r>
    </w:p>
  </w:endnote>
  <w:endnote w:type="continuationSeparator" w:id="0">
    <w:p w14:paraId="164B9284" w14:textId="77777777" w:rsidR="001A7B60" w:rsidRDefault="001A7B60" w:rsidP="00C627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85853720"/>
      <w:docPartObj>
        <w:docPartGallery w:val="Page Numbers (Bottom of Page)"/>
        <w:docPartUnique/>
      </w:docPartObj>
    </w:sdtPr>
    <w:sdtEndPr>
      <w:rPr>
        <w:noProof/>
      </w:rPr>
    </w:sdtEndPr>
    <w:sdtContent>
      <w:p w14:paraId="55E7B069" w14:textId="77777777" w:rsidR="00C563AB" w:rsidRDefault="00C563AB">
        <w:pPr>
          <w:pStyle w:val="Footer"/>
          <w:jc w:val="right"/>
        </w:pPr>
        <w:r>
          <w:fldChar w:fldCharType="begin"/>
        </w:r>
        <w:r>
          <w:instrText xml:space="preserve"> PAGE   \* MERGEFORMAT </w:instrText>
        </w:r>
        <w:r>
          <w:fldChar w:fldCharType="separate"/>
        </w:r>
        <w:r w:rsidR="00291A27">
          <w:rPr>
            <w:noProof/>
          </w:rPr>
          <w:t>3</w:t>
        </w:r>
        <w:r>
          <w:rPr>
            <w:noProof/>
          </w:rPr>
          <w:fldChar w:fldCharType="end"/>
        </w:r>
      </w:p>
    </w:sdtContent>
  </w:sdt>
  <w:p w14:paraId="346780AA" w14:textId="77777777" w:rsidR="00C563AB" w:rsidRDefault="00C563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6F8AA3" w14:textId="77777777" w:rsidR="001A7B60" w:rsidRDefault="001A7B60" w:rsidP="00C627B1">
      <w:pPr>
        <w:spacing w:after="0" w:line="240" w:lineRule="auto"/>
      </w:pPr>
      <w:r>
        <w:separator/>
      </w:r>
    </w:p>
  </w:footnote>
  <w:footnote w:type="continuationSeparator" w:id="0">
    <w:p w14:paraId="73FD7FCB" w14:textId="77777777" w:rsidR="001A7B60" w:rsidRDefault="001A7B60" w:rsidP="00C627B1">
      <w:pPr>
        <w:spacing w:after="0" w:line="240" w:lineRule="auto"/>
      </w:pPr>
      <w:r>
        <w:continuationSeparator/>
      </w:r>
    </w:p>
  </w:footnote>
  <w:footnote w:id="1">
    <w:p w14:paraId="51BFC5D7" w14:textId="77777777" w:rsidR="00C563AB" w:rsidRDefault="00C563AB" w:rsidP="00034366">
      <w:pPr>
        <w:pStyle w:val="FootnoteText"/>
        <w:jc w:val="both"/>
      </w:pPr>
      <w:r>
        <w:rPr>
          <w:rStyle w:val="FootnoteReference"/>
        </w:rPr>
        <w:footnoteRef/>
      </w:r>
      <w:r>
        <w:t xml:space="preserve"> It is important to note that no findings were made by a Judge/Jury in these cases as they were settled before any trial based upon legal advice on the prospects of a successful defence and commercial bases. Furthermore, in some cases liability/compensation may have been split with the claimant or a partner agency.</w:t>
      </w:r>
    </w:p>
    <w:p w14:paraId="4515B1C8" w14:textId="77777777" w:rsidR="00C563AB" w:rsidRDefault="00C563AB" w:rsidP="00034366">
      <w:pPr>
        <w:pStyle w:val="FootnoteText"/>
        <w:jc w:val="both"/>
      </w:pPr>
      <w:r>
        <w:rPr>
          <w:rStyle w:val="FootnoteReference"/>
        </w:rPr>
        <w:t xml:space="preserve">2 </w:t>
      </w:r>
      <w:r>
        <w:t>Motor Claims are not dealt with by Legal Services within Durham Constabulary</w:t>
      </w:r>
    </w:p>
  </w:footnote>
  <w:footnote w:id="2">
    <w:p w14:paraId="6C5215FA" w14:textId="77777777" w:rsidR="00C563AB" w:rsidRDefault="00C563AB" w:rsidP="00C627B1">
      <w:pPr>
        <w:pStyle w:val="FootnoteText"/>
      </w:pPr>
      <w:r>
        <w:rPr>
          <w:rStyle w:val="FootnoteReference"/>
        </w:rPr>
        <w:t>2</w:t>
      </w:r>
      <w:r>
        <w:t xml:space="preserve"> Court hearings have been delayed so some successful cases cannot be finalised until costs element is resolved.</w:t>
      </w:r>
    </w:p>
    <w:p w14:paraId="24220D3C" w14:textId="77777777" w:rsidR="00C563AB" w:rsidRDefault="00C563AB" w:rsidP="00C627B1">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62828D" w14:textId="77777777" w:rsidR="00C563AB" w:rsidRDefault="00C563AB" w:rsidP="008B35F7">
    <w:pPr>
      <w:pStyle w:val="Header"/>
      <w:ind w:left="2880"/>
      <w:jc w:val="right"/>
    </w:pPr>
    <w:r>
      <w:rPr>
        <w:noProof/>
        <w:lang w:eastAsia="en-GB"/>
      </w:rPr>
      <w:drawing>
        <wp:inline distT="0" distB="0" distL="0" distR="0" wp14:anchorId="3CD8377C" wp14:editId="4DD55D86">
          <wp:extent cx="920750" cy="36576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0750" cy="36576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484C16"/>
    <w:multiLevelType w:val="hybridMultilevel"/>
    <w:tmpl w:val="A5EE4C66"/>
    <w:lvl w:ilvl="0" w:tplc="3DA43904">
      <w:numFmt w:val="bullet"/>
      <w:lvlText w:val=""/>
      <w:lvlJc w:val="left"/>
      <w:pPr>
        <w:ind w:left="1080" w:hanging="360"/>
      </w:pPr>
      <w:rPr>
        <w:rFonts w:ascii="Symbol" w:eastAsiaTheme="minorHAnsi" w:hAnsi="Symbol"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E440AC1"/>
    <w:multiLevelType w:val="hybridMultilevel"/>
    <w:tmpl w:val="6194EB8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318C16DE"/>
    <w:multiLevelType w:val="multilevel"/>
    <w:tmpl w:val="6FDCBD00"/>
    <w:lvl w:ilvl="0">
      <w:start w:val="1"/>
      <w:numFmt w:val="decimal"/>
      <w:lvlText w:val="%1"/>
      <w:lvlJc w:val="left"/>
      <w:pPr>
        <w:ind w:left="360" w:hanging="360"/>
      </w:p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440" w:hanging="1440"/>
      </w:pPr>
    </w:lvl>
  </w:abstractNum>
  <w:abstractNum w:abstractNumId="3" w15:restartNumberingAfterBreak="0">
    <w:nsid w:val="3614500F"/>
    <w:multiLevelType w:val="hybridMultilevel"/>
    <w:tmpl w:val="BA4A31D6"/>
    <w:lvl w:ilvl="0" w:tplc="AF524EB4">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9D31F69"/>
    <w:multiLevelType w:val="hybridMultilevel"/>
    <w:tmpl w:val="E4E4ADF0"/>
    <w:lvl w:ilvl="0" w:tplc="E1869620">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1EF0EAA"/>
    <w:multiLevelType w:val="multilevel"/>
    <w:tmpl w:val="8F0894D4"/>
    <w:lvl w:ilvl="0">
      <w:start w:val="1"/>
      <w:numFmt w:val="decimal"/>
      <w:lvlText w:val="%1"/>
      <w:lvlJc w:val="left"/>
      <w:pPr>
        <w:ind w:left="375" w:hanging="375"/>
      </w:pPr>
      <w:rPr>
        <w:rFonts w:hint="default"/>
      </w:rPr>
    </w:lvl>
    <w:lvl w:ilvl="1">
      <w:start w:val="1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2"/>
  </w:num>
  <w:num w:numId="2">
    <w:abstractNumId w:val="1"/>
  </w:num>
  <w:num w:numId="3">
    <w:abstractNumId w:val="4"/>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627B1"/>
    <w:rsid w:val="00005A19"/>
    <w:rsid w:val="00006457"/>
    <w:rsid w:val="00007B59"/>
    <w:rsid w:val="00022038"/>
    <w:rsid w:val="00034366"/>
    <w:rsid w:val="00041AAB"/>
    <w:rsid w:val="000547CA"/>
    <w:rsid w:val="000669E1"/>
    <w:rsid w:val="00070A52"/>
    <w:rsid w:val="000802B5"/>
    <w:rsid w:val="00083855"/>
    <w:rsid w:val="00083858"/>
    <w:rsid w:val="000854E2"/>
    <w:rsid w:val="00087702"/>
    <w:rsid w:val="00094587"/>
    <w:rsid w:val="000B05A7"/>
    <w:rsid w:val="000B5500"/>
    <w:rsid w:val="000B791C"/>
    <w:rsid w:val="000C4458"/>
    <w:rsid w:val="000D2C82"/>
    <w:rsid w:val="000D579A"/>
    <w:rsid w:val="000E7CB9"/>
    <w:rsid w:val="001138DB"/>
    <w:rsid w:val="001239F6"/>
    <w:rsid w:val="00132258"/>
    <w:rsid w:val="00140CA6"/>
    <w:rsid w:val="00144348"/>
    <w:rsid w:val="001449BD"/>
    <w:rsid w:val="00144CE1"/>
    <w:rsid w:val="0015285C"/>
    <w:rsid w:val="00152F1A"/>
    <w:rsid w:val="00162216"/>
    <w:rsid w:val="001625E7"/>
    <w:rsid w:val="00171686"/>
    <w:rsid w:val="00177B62"/>
    <w:rsid w:val="00180DE4"/>
    <w:rsid w:val="001900C0"/>
    <w:rsid w:val="001A10B0"/>
    <w:rsid w:val="001A7B60"/>
    <w:rsid w:val="001B0ECB"/>
    <w:rsid w:val="001B61E4"/>
    <w:rsid w:val="001C5AC9"/>
    <w:rsid w:val="001D313E"/>
    <w:rsid w:val="001E72A4"/>
    <w:rsid w:val="001F5508"/>
    <w:rsid w:val="00206BC9"/>
    <w:rsid w:val="00207C8B"/>
    <w:rsid w:val="00210471"/>
    <w:rsid w:val="00215B18"/>
    <w:rsid w:val="00234244"/>
    <w:rsid w:val="00242EA7"/>
    <w:rsid w:val="00246FDF"/>
    <w:rsid w:val="002473D1"/>
    <w:rsid w:val="00252549"/>
    <w:rsid w:val="00253A81"/>
    <w:rsid w:val="00253DD9"/>
    <w:rsid w:val="00261AB0"/>
    <w:rsid w:val="00281526"/>
    <w:rsid w:val="00291537"/>
    <w:rsid w:val="0029191B"/>
    <w:rsid w:val="00291A27"/>
    <w:rsid w:val="002A02E4"/>
    <w:rsid w:val="002B14C7"/>
    <w:rsid w:val="002B2B2C"/>
    <w:rsid w:val="002C6C26"/>
    <w:rsid w:val="002C6CD7"/>
    <w:rsid w:val="002D0BAD"/>
    <w:rsid w:val="002F75F4"/>
    <w:rsid w:val="00300AE1"/>
    <w:rsid w:val="00323192"/>
    <w:rsid w:val="0032659A"/>
    <w:rsid w:val="00327820"/>
    <w:rsid w:val="003336A3"/>
    <w:rsid w:val="00336B60"/>
    <w:rsid w:val="003511DB"/>
    <w:rsid w:val="0036459C"/>
    <w:rsid w:val="00364B88"/>
    <w:rsid w:val="00367B2C"/>
    <w:rsid w:val="00374FEA"/>
    <w:rsid w:val="003761B3"/>
    <w:rsid w:val="00384AD1"/>
    <w:rsid w:val="0038705E"/>
    <w:rsid w:val="00391766"/>
    <w:rsid w:val="0039221F"/>
    <w:rsid w:val="00392374"/>
    <w:rsid w:val="003953D4"/>
    <w:rsid w:val="003A38A5"/>
    <w:rsid w:val="003A791B"/>
    <w:rsid w:val="003B26A7"/>
    <w:rsid w:val="003B545E"/>
    <w:rsid w:val="003C1E66"/>
    <w:rsid w:val="003D4191"/>
    <w:rsid w:val="003F1395"/>
    <w:rsid w:val="003F4570"/>
    <w:rsid w:val="004046D5"/>
    <w:rsid w:val="00405D8A"/>
    <w:rsid w:val="004075DB"/>
    <w:rsid w:val="004078D5"/>
    <w:rsid w:val="00410B62"/>
    <w:rsid w:val="00412EAE"/>
    <w:rsid w:val="00422158"/>
    <w:rsid w:val="004221DC"/>
    <w:rsid w:val="004339D4"/>
    <w:rsid w:val="00435F6E"/>
    <w:rsid w:val="00442297"/>
    <w:rsid w:val="00472AE1"/>
    <w:rsid w:val="004750D0"/>
    <w:rsid w:val="00476A8D"/>
    <w:rsid w:val="00485DEE"/>
    <w:rsid w:val="00490FFB"/>
    <w:rsid w:val="004B01E0"/>
    <w:rsid w:val="004B19FD"/>
    <w:rsid w:val="004B7F4F"/>
    <w:rsid w:val="004C4672"/>
    <w:rsid w:val="004D5912"/>
    <w:rsid w:val="004E2A58"/>
    <w:rsid w:val="004E5932"/>
    <w:rsid w:val="004F0AD7"/>
    <w:rsid w:val="004F6622"/>
    <w:rsid w:val="004F6B3E"/>
    <w:rsid w:val="00502112"/>
    <w:rsid w:val="00507B2F"/>
    <w:rsid w:val="00511719"/>
    <w:rsid w:val="00537728"/>
    <w:rsid w:val="0054028B"/>
    <w:rsid w:val="00552C24"/>
    <w:rsid w:val="00554BBA"/>
    <w:rsid w:val="00556A6D"/>
    <w:rsid w:val="00564F24"/>
    <w:rsid w:val="005710C8"/>
    <w:rsid w:val="005824E2"/>
    <w:rsid w:val="00583B1B"/>
    <w:rsid w:val="00585F92"/>
    <w:rsid w:val="005A4C34"/>
    <w:rsid w:val="005A73CF"/>
    <w:rsid w:val="005B3DEE"/>
    <w:rsid w:val="005B652B"/>
    <w:rsid w:val="005C787C"/>
    <w:rsid w:val="005D35BA"/>
    <w:rsid w:val="005E4F8D"/>
    <w:rsid w:val="005F300F"/>
    <w:rsid w:val="00600803"/>
    <w:rsid w:val="006034C6"/>
    <w:rsid w:val="00617BC0"/>
    <w:rsid w:val="00627881"/>
    <w:rsid w:val="00642E5E"/>
    <w:rsid w:val="00650706"/>
    <w:rsid w:val="00663DE9"/>
    <w:rsid w:val="00674A23"/>
    <w:rsid w:val="0068396A"/>
    <w:rsid w:val="0069316F"/>
    <w:rsid w:val="006A1E13"/>
    <w:rsid w:val="006A5AA6"/>
    <w:rsid w:val="006A6B25"/>
    <w:rsid w:val="006A7A56"/>
    <w:rsid w:val="006B0278"/>
    <w:rsid w:val="006C4A68"/>
    <w:rsid w:val="006D6D8F"/>
    <w:rsid w:val="006E06E4"/>
    <w:rsid w:val="006E3EF3"/>
    <w:rsid w:val="006E3FAC"/>
    <w:rsid w:val="006E4E03"/>
    <w:rsid w:val="006F25A5"/>
    <w:rsid w:val="006F52D8"/>
    <w:rsid w:val="00704156"/>
    <w:rsid w:val="00707690"/>
    <w:rsid w:val="00716356"/>
    <w:rsid w:val="0071715B"/>
    <w:rsid w:val="00724D29"/>
    <w:rsid w:val="007264B3"/>
    <w:rsid w:val="00726606"/>
    <w:rsid w:val="0073271C"/>
    <w:rsid w:val="007477CB"/>
    <w:rsid w:val="00753B28"/>
    <w:rsid w:val="00775598"/>
    <w:rsid w:val="00791E38"/>
    <w:rsid w:val="00794387"/>
    <w:rsid w:val="0079519D"/>
    <w:rsid w:val="007B1C94"/>
    <w:rsid w:val="007C03DF"/>
    <w:rsid w:val="007C08EC"/>
    <w:rsid w:val="007D1536"/>
    <w:rsid w:val="007D1CD4"/>
    <w:rsid w:val="007D6B52"/>
    <w:rsid w:val="007D72B0"/>
    <w:rsid w:val="007E09DE"/>
    <w:rsid w:val="007E4430"/>
    <w:rsid w:val="007F5445"/>
    <w:rsid w:val="00825DA5"/>
    <w:rsid w:val="00831AC1"/>
    <w:rsid w:val="00841585"/>
    <w:rsid w:val="0085163D"/>
    <w:rsid w:val="00860E08"/>
    <w:rsid w:val="00866102"/>
    <w:rsid w:val="0087401F"/>
    <w:rsid w:val="00875A21"/>
    <w:rsid w:val="00880C94"/>
    <w:rsid w:val="008A659C"/>
    <w:rsid w:val="008B2F56"/>
    <w:rsid w:val="008B35F7"/>
    <w:rsid w:val="008B6290"/>
    <w:rsid w:val="008C5EE3"/>
    <w:rsid w:val="008D4E9C"/>
    <w:rsid w:val="0090008A"/>
    <w:rsid w:val="009114FF"/>
    <w:rsid w:val="00914545"/>
    <w:rsid w:val="00924202"/>
    <w:rsid w:val="00927344"/>
    <w:rsid w:val="00932EF8"/>
    <w:rsid w:val="009406F3"/>
    <w:rsid w:val="00946B00"/>
    <w:rsid w:val="00953781"/>
    <w:rsid w:val="0095509A"/>
    <w:rsid w:val="009613FD"/>
    <w:rsid w:val="00963EA7"/>
    <w:rsid w:val="00975BE8"/>
    <w:rsid w:val="00980053"/>
    <w:rsid w:val="009866B2"/>
    <w:rsid w:val="009A4387"/>
    <w:rsid w:val="009A5994"/>
    <w:rsid w:val="009B18D7"/>
    <w:rsid w:val="009B2DBC"/>
    <w:rsid w:val="009B32F2"/>
    <w:rsid w:val="009C0998"/>
    <w:rsid w:val="009C76CE"/>
    <w:rsid w:val="009D33E8"/>
    <w:rsid w:val="009D3C76"/>
    <w:rsid w:val="009D61D8"/>
    <w:rsid w:val="009E149A"/>
    <w:rsid w:val="009E230F"/>
    <w:rsid w:val="009E354B"/>
    <w:rsid w:val="009F0515"/>
    <w:rsid w:val="009F175A"/>
    <w:rsid w:val="009F4A03"/>
    <w:rsid w:val="009F52BE"/>
    <w:rsid w:val="00A11BF8"/>
    <w:rsid w:val="00A16276"/>
    <w:rsid w:val="00A17E1A"/>
    <w:rsid w:val="00A224A7"/>
    <w:rsid w:val="00A23F43"/>
    <w:rsid w:val="00A27766"/>
    <w:rsid w:val="00A3052E"/>
    <w:rsid w:val="00A32C70"/>
    <w:rsid w:val="00A34CA5"/>
    <w:rsid w:val="00A40CDC"/>
    <w:rsid w:val="00A4660B"/>
    <w:rsid w:val="00A606B3"/>
    <w:rsid w:val="00A65123"/>
    <w:rsid w:val="00A658BC"/>
    <w:rsid w:val="00A659E6"/>
    <w:rsid w:val="00A75CBA"/>
    <w:rsid w:val="00A81C96"/>
    <w:rsid w:val="00A86EED"/>
    <w:rsid w:val="00A87671"/>
    <w:rsid w:val="00A91CEA"/>
    <w:rsid w:val="00A9606B"/>
    <w:rsid w:val="00A96124"/>
    <w:rsid w:val="00AA71BD"/>
    <w:rsid w:val="00AB1505"/>
    <w:rsid w:val="00AC64F8"/>
    <w:rsid w:val="00AE0EAA"/>
    <w:rsid w:val="00AE612D"/>
    <w:rsid w:val="00AE7125"/>
    <w:rsid w:val="00AF0CC8"/>
    <w:rsid w:val="00AF36B6"/>
    <w:rsid w:val="00B21EB2"/>
    <w:rsid w:val="00B23FEC"/>
    <w:rsid w:val="00B33340"/>
    <w:rsid w:val="00B4486F"/>
    <w:rsid w:val="00B50B97"/>
    <w:rsid w:val="00B566A1"/>
    <w:rsid w:val="00B64C6C"/>
    <w:rsid w:val="00B665F1"/>
    <w:rsid w:val="00B935C0"/>
    <w:rsid w:val="00BB1D3E"/>
    <w:rsid w:val="00BC668F"/>
    <w:rsid w:val="00BE6D49"/>
    <w:rsid w:val="00BF64C2"/>
    <w:rsid w:val="00BF7D64"/>
    <w:rsid w:val="00C10D47"/>
    <w:rsid w:val="00C14DD7"/>
    <w:rsid w:val="00C21245"/>
    <w:rsid w:val="00C563AB"/>
    <w:rsid w:val="00C627B1"/>
    <w:rsid w:val="00C65710"/>
    <w:rsid w:val="00C71733"/>
    <w:rsid w:val="00C75700"/>
    <w:rsid w:val="00C821AD"/>
    <w:rsid w:val="00C84776"/>
    <w:rsid w:val="00C93FB9"/>
    <w:rsid w:val="00C97995"/>
    <w:rsid w:val="00CA0B15"/>
    <w:rsid w:val="00CA4482"/>
    <w:rsid w:val="00CA4F5C"/>
    <w:rsid w:val="00CA6397"/>
    <w:rsid w:val="00CA73AD"/>
    <w:rsid w:val="00CA74D2"/>
    <w:rsid w:val="00CB30EE"/>
    <w:rsid w:val="00CC69D8"/>
    <w:rsid w:val="00CD551F"/>
    <w:rsid w:val="00CE3298"/>
    <w:rsid w:val="00CF36FE"/>
    <w:rsid w:val="00D02570"/>
    <w:rsid w:val="00D06DAC"/>
    <w:rsid w:val="00D23C4E"/>
    <w:rsid w:val="00D23DBA"/>
    <w:rsid w:val="00D24A0F"/>
    <w:rsid w:val="00D254A8"/>
    <w:rsid w:val="00D50848"/>
    <w:rsid w:val="00D5487D"/>
    <w:rsid w:val="00D54DD0"/>
    <w:rsid w:val="00D665D8"/>
    <w:rsid w:val="00D707D4"/>
    <w:rsid w:val="00D71802"/>
    <w:rsid w:val="00D71C89"/>
    <w:rsid w:val="00D74FEF"/>
    <w:rsid w:val="00D77EEF"/>
    <w:rsid w:val="00D81173"/>
    <w:rsid w:val="00D90B63"/>
    <w:rsid w:val="00D93BFA"/>
    <w:rsid w:val="00D94FFE"/>
    <w:rsid w:val="00D958F8"/>
    <w:rsid w:val="00DC30A2"/>
    <w:rsid w:val="00DC74FD"/>
    <w:rsid w:val="00DD526B"/>
    <w:rsid w:val="00DE4E11"/>
    <w:rsid w:val="00DE5AF6"/>
    <w:rsid w:val="00DF44FF"/>
    <w:rsid w:val="00DF601D"/>
    <w:rsid w:val="00E1018A"/>
    <w:rsid w:val="00E13457"/>
    <w:rsid w:val="00E322E1"/>
    <w:rsid w:val="00E43C30"/>
    <w:rsid w:val="00E43F20"/>
    <w:rsid w:val="00E660D8"/>
    <w:rsid w:val="00E8426D"/>
    <w:rsid w:val="00E85B1C"/>
    <w:rsid w:val="00EA1507"/>
    <w:rsid w:val="00EA2044"/>
    <w:rsid w:val="00EB4294"/>
    <w:rsid w:val="00ED54DF"/>
    <w:rsid w:val="00ED6592"/>
    <w:rsid w:val="00ED6B08"/>
    <w:rsid w:val="00EE6EC1"/>
    <w:rsid w:val="00EF25B5"/>
    <w:rsid w:val="00F04B5A"/>
    <w:rsid w:val="00F1309D"/>
    <w:rsid w:val="00F1635E"/>
    <w:rsid w:val="00F21941"/>
    <w:rsid w:val="00F432DF"/>
    <w:rsid w:val="00F463EB"/>
    <w:rsid w:val="00F5095D"/>
    <w:rsid w:val="00F50EDD"/>
    <w:rsid w:val="00F541F1"/>
    <w:rsid w:val="00F55E38"/>
    <w:rsid w:val="00F60053"/>
    <w:rsid w:val="00F818DB"/>
    <w:rsid w:val="00FB19A0"/>
    <w:rsid w:val="00FC5F7B"/>
    <w:rsid w:val="00FD2FE4"/>
    <w:rsid w:val="00FD366D"/>
    <w:rsid w:val="00FD3951"/>
    <w:rsid w:val="00FE157E"/>
    <w:rsid w:val="00FF1895"/>
    <w:rsid w:val="00FF553D"/>
    <w:rsid w:val="00FF5B4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DEDD69A-BBE2-4FF7-BFAC-055C1175D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627B1"/>
  </w:style>
  <w:style w:type="paragraph" w:styleId="Heading1">
    <w:name w:val="heading 1"/>
    <w:basedOn w:val="Normal"/>
    <w:next w:val="Normal"/>
    <w:link w:val="Heading1Char"/>
    <w:uiPriority w:val="9"/>
    <w:qFormat/>
    <w:rsid w:val="00D24A0F"/>
    <w:pPr>
      <w:keepNext/>
      <w:jc w:val="both"/>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627B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627B1"/>
    <w:rPr>
      <w:sz w:val="20"/>
      <w:szCs w:val="20"/>
    </w:rPr>
  </w:style>
  <w:style w:type="paragraph" w:styleId="ListParagraph">
    <w:name w:val="List Paragraph"/>
    <w:basedOn w:val="Normal"/>
    <w:uiPriority w:val="34"/>
    <w:qFormat/>
    <w:rsid w:val="00C627B1"/>
    <w:pPr>
      <w:ind w:left="720"/>
      <w:contextualSpacing/>
    </w:pPr>
  </w:style>
  <w:style w:type="character" w:styleId="FootnoteReference">
    <w:name w:val="footnote reference"/>
    <w:basedOn w:val="DefaultParagraphFont"/>
    <w:uiPriority w:val="99"/>
    <w:semiHidden/>
    <w:unhideWhenUsed/>
    <w:rsid w:val="00C627B1"/>
    <w:rPr>
      <w:vertAlign w:val="superscript"/>
    </w:rPr>
  </w:style>
  <w:style w:type="table" w:styleId="TableGrid">
    <w:name w:val="Table Grid"/>
    <w:basedOn w:val="TableNormal"/>
    <w:uiPriority w:val="59"/>
    <w:rsid w:val="00C627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627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27B1"/>
    <w:rPr>
      <w:rFonts w:ascii="Tahoma" w:hAnsi="Tahoma" w:cs="Tahoma"/>
      <w:sz w:val="16"/>
      <w:szCs w:val="16"/>
    </w:rPr>
  </w:style>
  <w:style w:type="paragraph" w:styleId="Header">
    <w:name w:val="header"/>
    <w:basedOn w:val="Normal"/>
    <w:link w:val="HeaderChar"/>
    <w:uiPriority w:val="99"/>
    <w:unhideWhenUsed/>
    <w:rsid w:val="008B35F7"/>
    <w:pPr>
      <w:tabs>
        <w:tab w:val="center" w:pos="4513"/>
        <w:tab w:val="right" w:pos="9026"/>
      </w:tabs>
      <w:spacing w:after="0" w:line="240" w:lineRule="auto"/>
    </w:pPr>
  </w:style>
  <w:style w:type="character" w:customStyle="1" w:styleId="HeaderChar">
    <w:name w:val="Header Char"/>
    <w:basedOn w:val="DefaultParagraphFont"/>
    <w:link w:val="Header"/>
    <w:uiPriority w:val="99"/>
    <w:rsid w:val="008B35F7"/>
  </w:style>
  <w:style w:type="paragraph" w:styleId="Footer">
    <w:name w:val="footer"/>
    <w:basedOn w:val="Normal"/>
    <w:link w:val="FooterChar"/>
    <w:uiPriority w:val="99"/>
    <w:unhideWhenUsed/>
    <w:rsid w:val="008B35F7"/>
    <w:pPr>
      <w:tabs>
        <w:tab w:val="center" w:pos="4513"/>
        <w:tab w:val="right" w:pos="9026"/>
      </w:tabs>
      <w:spacing w:after="0" w:line="240" w:lineRule="auto"/>
    </w:pPr>
  </w:style>
  <w:style w:type="character" w:customStyle="1" w:styleId="FooterChar">
    <w:name w:val="Footer Char"/>
    <w:basedOn w:val="DefaultParagraphFont"/>
    <w:link w:val="Footer"/>
    <w:uiPriority w:val="99"/>
    <w:rsid w:val="008B35F7"/>
  </w:style>
  <w:style w:type="character" w:styleId="CommentReference">
    <w:name w:val="annotation reference"/>
    <w:basedOn w:val="DefaultParagraphFont"/>
    <w:uiPriority w:val="99"/>
    <w:semiHidden/>
    <w:unhideWhenUsed/>
    <w:rsid w:val="004750D0"/>
    <w:rPr>
      <w:sz w:val="16"/>
      <w:szCs w:val="16"/>
    </w:rPr>
  </w:style>
  <w:style w:type="paragraph" w:styleId="CommentText">
    <w:name w:val="annotation text"/>
    <w:basedOn w:val="Normal"/>
    <w:link w:val="CommentTextChar"/>
    <w:uiPriority w:val="99"/>
    <w:semiHidden/>
    <w:unhideWhenUsed/>
    <w:rsid w:val="004750D0"/>
    <w:pPr>
      <w:spacing w:line="240" w:lineRule="auto"/>
    </w:pPr>
    <w:rPr>
      <w:sz w:val="20"/>
      <w:szCs w:val="20"/>
    </w:rPr>
  </w:style>
  <w:style w:type="character" w:customStyle="1" w:styleId="CommentTextChar">
    <w:name w:val="Comment Text Char"/>
    <w:basedOn w:val="DefaultParagraphFont"/>
    <w:link w:val="CommentText"/>
    <w:uiPriority w:val="99"/>
    <w:semiHidden/>
    <w:rsid w:val="004750D0"/>
    <w:rPr>
      <w:sz w:val="20"/>
      <w:szCs w:val="20"/>
    </w:rPr>
  </w:style>
  <w:style w:type="paragraph" w:styleId="CommentSubject">
    <w:name w:val="annotation subject"/>
    <w:basedOn w:val="CommentText"/>
    <w:next w:val="CommentText"/>
    <w:link w:val="CommentSubjectChar"/>
    <w:uiPriority w:val="99"/>
    <w:semiHidden/>
    <w:unhideWhenUsed/>
    <w:rsid w:val="004750D0"/>
    <w:rPr>
      <w:b/>
      <w:bCs/>
    </w:rPr>
  </w:style>
  <w:style w:type="character" w:customStyle="1" w:styleId="CommentSubjectChar">
    <w:name w:val="Comment Subject Char"/>
    <w:basedOn w:val="CommentTextChar"/>
    <w:link w:val="CommentSubject"/>
    <w:uiPriority w:val="99"/>
    <w:semiHidden/>
    <w:rsid w:val="004750D0"/>
    <w:rPr>
      <w:b/>
      <w:bCs/>
      <w:sz w:val="20"/>
      <w:szCs w:val="20"/>
    </w:rPr>
  </w:style>
  <w:style w:type="character" w:customStyle="1" w:styleId="Heading1Char">
    <w:name w:val="Heading 1 Char"/>
    <w:basedOn w:val="DefaultParagraphFont"/>
    <w:link w:val="Heading1"/>
    <w:uiPriority w:val="9"/>
    <w:rsid w:val="00D24A0F"/>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7706293">
      <w:bodyDiv w:val="1"/>
      <w:marLeft w:val="0"/>
      <w:marRight w:val="0"/>
      <w:marTop w:val="0"/>
      <w:marBottom w:val="0"/>
      <w:divBdr>
        <w:top w:val="none" w:sz="0" w:space="0" w:color="auto"/>
        <w:left w:val="none" w:sz="0" w:space="0" w:color="auto"/>
        <w:bottom w:val="none" w:sz="0" w:space="0" w:color="auto"/>
        <w:right w:val="none" w:sz="0" w:space="0" w:color="auto"/>
      </w:divBdr>
    </w:div>
    <w:div w:id="1581018403">
      <w:bodyDiv w:val="1"/>
      <w:marLeft w:val="0"/>
      <w:marRight w:val="0"/>
      <w:marTop w:val="0"/>
      <w:marBottom w:val="0"/>
      <w:divBdr>
        <w:top w:val="none" w:sz="0" w:space="0" w:color="auto"/>
        <w:left w:val="none" w:sz="0" w:space="0" w:color="auto"/>
        <w:bottom w:val="none" w:sz="0" w:space="0" w:color="auto"/>
        <w:right w:val="none" w:sz="0" w:space="0" w:color="auto"/>
      </w:divBdr>
    </w:div>
    <w:div w:id="1774400073">
      <w:bodyDiv w:val="1"/>
      <w:marLeft w:val="0"/>
      <w:marRight w:val="0"/>
      <w:marTop w:val="0"/>
      <w:marBottom w:val="0"/>
      <w:divBdr>
        <w:top w:val="none" w:sz="0" w:space="0" w:color="auto"/>
        <w:left w:val="none" w:sz="0" w:space="0" w:color="auto"/>
        <w:bottom w:val="none" w:sz="0" w:space="0" w:color="auto"/>
        <w:right w:val="none" w:sz="0" w:space="0" w:color="auto"/>
      </w:divBdr>
    </w:div>
    <w:div w:id="2112772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GB"/>
              <a:t>Claims Recieved</a:t>
            </a:r>
            <a:r>
              <a:rPr lang="en-GB" baseline="0"/>
              <a:t> </a:t>
            </a:r>
            <a:endParaRPr lang="en-GB"/>
          </a:p>
        </c:rich>
      </c:tx>
      <c:overlay val="0"/>
    </c:title>
    <c:autoTitleDeleted val="0"/>
    <c:plotArea>
      <c:layout/>
      <c:barChart>
        <c:barDir val="col"/>
        <c:grouping val="clustered"/>
        <c:varyColors val="0"/>
        <c:ser>
          <c:idx val="0"/>
          <c:order val="0"/>
          <c:tx>
            <c:strRef>
              <c:f>Sheet1!$B$1</c:f>
              <c:strCache>
                <c:ptCount val="1"/>
                <c:pt idx="0">
                  <c:v>Employers Liability Claims </c:v>
                </c:pt>
              </c:strCache>
            </c:strRef>
          </c:tx>
          <c:invertIfNegative val="0"/>
          <c:cat>
            <c:strRef>
              <c:f>Sheet1!$A$2:$A$3</c:f>
              <c:strCache>
                <c:ptCount val="2"/>
                <c:pt idx="0">
                  <c:v>28th February 2020 - 31st August 2020</c:v>
                </c:pt>
                <c:pt idx="1">
                  <c:v>1st September 2020 - 28th February 2021</c:v>
                </c:pt>
              </c:strCache>
            </c:strRef>
          </c:cat>
          <c:val>
            <c:numRef>
              <c:f>Sheet1!$B$2:$B$3</c:f>
              <c:numCache>
                <c:formatCode>General</c:formatCode>
                <c:ptCount val="2"/>
                <c:pt idx="0">
                  <c:v>5</c:v>
                </c:pt>
                <c:pt idx="1">
                  <c:v>0</c:v>
                </c:pt>
              </c:numCache>
            </c:numRef>
          </c:val>
          <c:extLst>
            <c:ext xmlns:c16="http://schemas.microsoft.com/office/drawing/2014/chart" uri="{C3380CC4-5D6E-409C-BE32-E72D297353CC}">
              <c16:uniqueId val="{00000000-5E9A-4C41-B279-8B24FF67D7AE}"/>
            </c:ext>
          </c:extLst>
        </c:ser>
        <c:ser>
          <c:idx val="1"/>
          <c:order val="1"/>
          <c:tx>
            <c:strRef>
              <c:f>Sheet1!$C$1</c:f>
              <c:strCache>
                <c:ptCount val="1"/>
                <c:pt idx="0">
                  <c:v>Public Liability Claims</c:v>
                </c:pt>
              </c:strCache>
            </c:strRef>
          </c:tx>
          <c:invertIfNegative val="0"/>
          <c:cat>
            <c:strRef>
              <c:f>Sheet1!$A$2:$A$3</c:f>
              <c:strCache>
                <c:ptCount val="2"/>
                <c:pt idx="0">
                  <c:v>28th February 2020 - 31st August 2020</c:v>
                </c:pt>
                <c:pt idx="1">
                  <c:v>1st September 2020 - 28th February 2021</c:v>
                </c:pt>
              </c:strCache>
            </c:strRef>
          </c:cat>
          <c:val>
            <c:numRef>
              <c:f>Sheet1!$C$2:$C$3</c:f>
              <c:numCache>
                <c:formatCode>General</c:formatCode>
                <c:ptCount val="2"/>
                <c:pt idx="0">
                  <c:v>21</c:v>
                </c:pt>
                <c:pt idx="1">
                  <c:v>23</c:v>
                </c:pt>
              </c:numCache>
            </c:numRef>
          </c:val>
          <c:extLst>
            <c:ext xmlns:c16="http://schemas.microsoft.com/office/drawing/2014/chart" uri="{C3380CC4-5D6E-409C-BE32-E72D297353CC}">
              <c16:uniqueId val="{00000001-5E9A-4C41-B279-8B24FF67D7AE}"/>
            </c:ext>
          </c:extLst>
        </c:ser>
        <c:ser>
          <c:idx val="2"/>
          <c:order val="2"/>
          <c:tx>
            <c:strRef>
              <c:f>Sheet1!$D$1</c:f>
              <c:strCache>
                <c:ptCount val="1"/>
                <c:pt idx="0">
                  <c:v>Motor Liability Claims </c:v>
                </c:pt>
              </c:strCache>
            </c:strRef>
          </c:tx>
          <c:invertIfNegative val="0"/>
          <c:cat>
            <c:strRef>
              <c:f>Sheet1!$A$2:$A$3</c:f>
              <c:strCache>
                <c:ptCount val="2"/>
                <c:pt idx="0">
                  <c:v>28th February 2020 - 31st August 2020</c:v>
                </c:pt>
                <c:pt idx="1">
                  <c:v>1st September 2020 - 28th February 2021</c:v>
                </c:pt>
              </c:strCache>
            </c:strRef>
          </c:cat>
          <c:val>
            <c:numRef>
              <c:f>Sheet1!$D$2:$D$3</c:f>
              <c:numCache>
                <c:formatCode>General</c:formatCode>
                <c:ptCount val="2"/>
                <c:pt idx="0">
                  <c:v>11</c:v>
                </c:pt>
                <c:pt idx="1">
                  <c:v>19</c:v>
                </c:pt>
              </c:numCache>
            </c:numRef>
          </c:val>
          <c:extLst>
            <c:ext xmlns:c16="http://schemas.microsoft.com/office/drawing/2014/chart" uri="{C3380CC4-5D6E-409C-BE32-E72D297353CC}">
              <c16:uniqueId val="{00000002-5E9A-4C41-B279-8B24FF67D7AE}"/>
            </c:ext>
          </c:extLst>
        </c:ser>
        <c:ser>
          <c:idx val="3"/>
          <c:order val="3"/>
          <c:tx>
            <c:strRef>
              <c:f>Sheet1!$E$1</c:f>
              <c:strCache>
                <c:ptCount val="1"/>
                <c:pt idx="0">
                  <c:v>Non Tribunal Employment Matters</c:v>
                </c:pt>
              </c:strCache>
            </c:strRef>
          </c:tx>
          <c:invertIfNegative val="0"/>
          <c:cat>
            <c:strRef>
              <c:f>Sheet1!$A$2:$A$3</c:f>
              <c:strCache>
                <c:ptCount val="2"/>
                <c:pt idx="0">
                  <c:v>28th February 2020 - 31st August 2020</c:v>
                </c:pt>
                <c:pt idx="1">
                  <c:v>1st September 2020 - 28th February 2021</c:v>
                </c:pt>
              </c:strCache>
            </c:strRef>
          </c:cat>
          <c:val>
            <c:numRef>
              <c:f>Sheet1!$E$2:$E$3</c:f>
              <c:numCache>
                <c:formatCode>General</c:formatCode>
                <c:ptCount val="2"/>
                <c:pt idx="0">
                  <c:v>1</c:v>
                </c:pt>
                <c:pt idx="1">
                  <c:v>0</c:v>
                </c:pt>
              </c:numCache>
            </c:numRef>
          </c:val>
          <c:extLst>
            <c:ext xmlns:c16="http://schemas.microsoft.com/office/drawing/2014/chart" uri="{C3380CC4-5D6E-409C-BE32-E72D297353CC}">
              <c16:uniqueId val="{00000003-5E9A-4C41-B279-8B24FF67D7AE}"/>
            </c:ext>
          </c:extLst>
        </c:ser>
        <c:dLbls>
          <c:showLegendKey val="0"/>
          <c:showVal val="0"/>
          <c:showCatName val="0"/>
          <c:showSerName val="0"/>
          <c:showPercent val="0"/>
          <c:showBubbleSize val="0"/>
        </c:dLbls>
        <c:gapWidth val="150"/>
        <c:axId val="44436864"/>
        <c:axId val="44446848"/>
      </c:barChart>
      <c:catAx>
        <c:axId val="44436864"/>
        <c:scaling>
          <c:orientation val="minMax"/>
        </c:scaling>
        <c:delete val="0"/>
        <c:axPos val="b"/>
        <c:numFmt formatCode="General" sourceLinked="0"/>
        <c:majorTickMark val="none"/>
        <c:minorTickMark val="none"/>
        <c:tickLblPos val="nextTo"/>
        <c:crossAx val="44446848"/>
        <c:crosses val="autoZero"/>
        <c:auto val="1"/>
        <c:lblAlgn val="ctr"/>
        <c:lblOffset val="100"/>
        <c:noMultiLvlLbl val="0"/>
      </c:catAx>
      <c:valAx>
        <c:axId val="44446848"/>
        <c:scaling>
          <c:orientation val="minMax"/>
        </c:scaling>
        <c:delete val="0"/>
        <c:axPos val="l"/>
        <c:majorGridlines/>
        <c:numFmt formatCode="General" sourceLinked="1"/>
        <c:majorTickMark val="none"/>
        <c:minorTickMark val="none"/>
        <c:tickLblPos val="nextTo"/>
        <c:crossAx val="44436864"/>
        <c:crosses val="autoZero"/>
        <c:crossBetween val="between"/>
      </c:valAx>
    </c:plotArea>
    <c:legend>
      <c:legendPos val="r"/>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GB"/>
              <a:t>Incident</a:t>
            </a:r>
            <a:r>
              <a:rPr lang="en-GB" baseline="0"/>
              <a:t> Dates of Claims Recieved During Period</a:t>
            </a:r>
            <a:endParaRPr lang="en-GB"/>
          </a:p>
        </c:rich>
      </c:tx>
      <c:overlay val="0"/>
    </c:title>
    <c:autoTitleDeleted val="0"/>
    <c:plotArea>
      <c:layout/>
      <c:barChart>
        <c:barDir val="col"/>
        <c:grouping val="clustered"/>
        <c:varyColors val="0"/>
        <c:ser>
          <c:idx val="0"/>
          <c:order val="0"/>
          <c:tx>
            <c:strRef>
              <c:f>Sheet1!$B$1</c:f>
              <c:strCache>
                <c:ptCount val="1"/>
                <c:pt idx="0">
                  <c:v>Employers Liability </c:v>
                </c:pt>
              </c:strCache>
            </c:strRef>
          </c:tx>
          <c:invertIfNegative val="0"/>
          <c:cat>
            <c:numRef>
              <c:f>Sheet1!$A$2:$A$9</c:f>
              <c:numCache>
                <c:formatCode>General</c:formatCode>
                <c:ptCount val="8"/>
                <c:pt idx="0">
                  <c:v>2014</c:v>
                </c:pt>
                <c:pt idx="1">
                  <c:v>2015</c:v>
                </c:pt>
                <c:pt idx="2">
                  <c:v>2016</c:v>
                </c:pt>
                <c:pt idx="3">
                  <c:v>2017</c:v>
                </c:pt>
                <c:pt idx="4">
                  <c:v>2018</c:v>
                </c:pt>
                <c:pt idx="5">
                  <c:v>2019</c:v>
                </c:pt>
                <c:pt idx="6">
                  <c:v>2020</c:v>
                </c:pt>
                <c:pt idx="7">
                  <c:v>2021</c:v>
                </c:pt>
              </c:numCache>
            </c:numRef>
          </c:cat>
          <c:val>
            <c:numRef>
              <c:f>Sheet1!$B$2:$B$9</c:f>
              <c:numCache>
                <c:formatCode>General</c:formatCode>
                <c:ptCount val="8"/>
              </c:numCache>
            </c:numRef>
          </c:val>
          <c:extLst>
            <c:ext xmlns:c16="http://schemas.microsoft.com/office/drawing/2014/chart" uri="{C3380CC4-5D6E-409C-BE32-E72D297353CC}">
              <c16:uniqueId val="{00000000-EDE8-40E1-80E0-005A52DCDD67}"/>
            </c:ext>
          </c:extLst>
        </c:ser>
        <c:ser>
          <c:idx val="1"/>
          <c:order val="1"/>
          <c:tx>
            <c:strRef>
              <c:f>Sheet1!$C$1</c:f>
              <c:strCache>
                <c:ptCount val="1"/>
                <c:pt idx="0">
                  <c:v>Public Liability </c:v>
                </c:pt>
              </c:strCache>
            </c:strRef>
          </c:tx>
          <c:invertIfNegative val="0"/>
          <c:cat>
            <c:numRef>
              <c:f>Sheet1!$A$2:$A$9</c:f>
              <c:numCache>
                <c:formatCode>General</c:formatCode>
                <c:ptCount val="8"/>
                <c:pt idx="0">
                  <c:v>2014</c:v>
                </c:pt>
                <c:pt idx="1">
                  <c:v>2015</c:v>
                </c:pt>
                <c:pt idx="2">
                  <c:v>2016</c:v>
                </c:pt>
                <c:pt idx="3">
                  <c:v>2017</c:v>
                </c:pt>
                <c:pt idx="4">
                  <c:v>2018</c:v>
                </c:pt>
                <c:pt idx="5">
                  <c:v>2019</c:v>
                </c:pt>
                <c:pt idx="6">
                  <c:v>2020</c:v>
                </c:pt>
                <c:pt idx="7">
                  <c:v>2021</c:v>
                </c:pt>
              </c:numCache>
            </c:numRef>
          </c:cat>
          <c:val>
            <c:numRef>
              <c:f>Sheet1!$C$2:$C$9</c:f>
              <c:numCache>
                <c:formatCode>General</c:formatCode>
                <c:ptCount val="8"/>
                <c:pt idx="0">
                  <c:v>0</c:v>
                </c:pt>
                <c:pt idx="1">
                  <c:v>0</c:v>
                </c:pt>
                <c:pt idx="2">
                  <c:v>1</c:v>
                </c:pt>
                <c:pt idx="3">
                  <c:v>1</c:v>
                </c:pt>
                <c:pt idx="4">
                  <c:v>1</c:v>
                </c:pt>
                <c:pt idx="5">
                  <c:v>7</c:v>
                </c:pt>
                <c:pt idx="6">
                  <c:v>13</c:v>
                </c:pt>
                <c:pt idx="7">
                  <c:v>0</c:v>
                </c:pt>
              </c:numCache>
            </c:numRef>
          </c:val>
          <c:extLst>
            <c:ext xmlns:c16="http://schemas.microsoft.com/office/drawing/2014/chart" uri="{C3380CC4-5D6E-409C-BE32-E72D297353CC}">
              <c16:uniqueId val="{00000001-EDE8-40E1-80E0-005A52DCDD67}"/>
            </c:ext>
          </c:extLst>
        </c:ser>
        <c:ser>
          <c:idx val="2"/>
          <c:order val="2"/>
          <c:tx>
            <c:strRef>
              <c:f>Sheet1!$D$1</c:f>
              <c:strCache>
                <c:ptCount val="1"/>
                <c:pt idx="0">
                  <c:v>Motor Liability </c:v>
                </c:pt>
              </c:strCache>
            </c:strRef>
          </c:tx>
          <c:invertIfNegative val="0"/>
          <c:cat>
            <c:numRef>
              <c:f>Sheet1!$A$2:$A$9</c:f>
              <c:numCache>
                <c:formatCode>General</c:formatCode>
                <c:ptCount val="8"/>
                <c:pt idx="0">
                  <c:v>2014</c:v>
                </c:pt>
                <c:pt idx="1">
                  <c:v>2015</c:v>
                </c:pt>
                <c:pt idx="2">
                  <c:v>2016</c:v>
                </c:pt>
                <c:pt idx="3">
                  <c:v>2017</c:v>
                </c:pt>
                <c:pt idx="4">
                  <c:v>2018</c:v>
                </c:pt>
                <c:pt idx="5">
                  <c:v>2019</c:v>
                </c:pt>
                <c:pt idx="6">
                  <c:v>2020</c:v>
                </c:pt>
                <c:pt idx="7">
                  <c:v>2021</c:v>
                </c:pt>
              </c:numCache>
            </c:numRef>
          </c:cat>
          <c:val>
            <c:numRef>
              <c:f>Sheet1!$D$2:$D$9</c:f>
              <c:numCache>
                <c:formatCode>General</c:formatCode>
                <c:ptCount val="8"/>
                <c:pt idx="0">
                  <c:v>0</c:v>
                </c:pt>
                <c:pt idx="1">
                  <c:v>0</c:v>
                </c:pt>
                <c:pt idx="2">
                  <c:v>0</c:v>
                </c:pt>
                <c:pt idx="3">
                  <c:v>0</c:v>
                </c:pt>
                <c:pt idx="4">
                  <c:v>0</c:v>
                </c:pt>
                <c:pt idx="5">
                  <c:v>0</c:v>
                </c:pt>
                <c:pt idx="6">
                  <c:v>16</c:v>
                </c:pt>
                <c:pt idx="7">
                  <c:v>3</c:v>
                </c:pt>
              </c:numCache>
            </c:numRef>
          </c:val>
          <c:extLst>
            <c:ext xmlns:c16="http://schemas.microsoft.com/office/drawing/2014/chart" uri="{C3380CC4-5D6E-409C-BE32-E72D297353CC}">
              <c16:uniqueId val="{00000002-EDE8-40E1-80E0-005A52DCDD67}"/>
            </c:ext>
          </c:extLst>
        </c:ser>
        <c:ser>
          <c:idx val="3"/>
          <c:order val="3"/>
          <c:tx>
            <c:strRef>
              <c:f>Sheet1!$E$1</c:f>
              <c:strCache>
                <c:ptCount val="1"/>
                <c:pt idx="0">
                  <c:v>NTEM</c:v>
                </c:pt>
              </c:strCache>
            </c:strRef>
          </c:tx>
          <c:invertIfNegative val="0"/>
          <c:cat>
            <c:numRef>
              <c:f>Sheet1!$A$2:$A$9</c:f>
              <c:numCache>
                <c:formatCode>General</c:formatCode>
                <c:ptCount val="8"/>
                <c:pt idx="0">
                  <c:v>2014</c:v>
                </c:pt>
                <c:pt idx="1">
                  <c:v>2015</c:v>
                </c:pt>
                <c:pt idx="2">
                  <c:v>2016</c:v>
                </c:pt>
                <c:pt idx="3">
                  <c:v>2017</c:v>
                </c:pt>
                <c:pt idx="4">
                  <c:v>2018</c:v>
                </c:pt>
                <c:pt idx="5">
                  <c:v>2019</c:v>
                </c:pt>
                <c:pt idx="6">
                  <c:v>2020</c:v>
                </c:pt>
                <c:pt idx="7">
                  <c:v>2021</c:v>
                </c:pt>
              </c:numCache>
            </c:numRef>
          </c:cat>
          <c:val>
            <c:numRef>
              <c:f>Sheet1!$E$2:$E$9</c:f>
              <c:numCache>
                <c:formatCode>General</c:formatCode>
                <c:ptCount val="8"/>
              </c:numCache>
            </c:numRef>
          </c:val>
          <c:extLst>
            <c:ext xmlns:c16="http://schemas.microsoft.com/office/drawing/2014/chart" uri="{C3380CC4-5D6E-409C-BE32-E72D297353CC}">
              <c16:uniqueId val="{00000003-EDE8-40E1-80E0-005A52DCDD67}"/>
            </c:ext>
          </c:extLst>
        </c:ser>
        <c:dLbls>
          <c:showLegendKey val="0"/>
          <c:showVal val="0"/>
          <c:showCatName val="0"/>
          <c:showSerName val="0"/>
          <c:showPercent val="0"/>
          <c:showBubbleSize val="0"/>
        </c:dLbls>
        <c:gapWidth val="150"/>
        <c:axId val="44491904"/>
        <c:axId val="44493440"/>
      </c:barChart>
      <c:catAx>
        <c:axId val="44491904"/>
        <c:scaling>
          <c:orientation val="minMax"/>
        </c:scaling>
        <c:delete val="0"/>
        <c:axPos val="b"/>
        <c:numFmt formatCode="General" sourceLinked="1"/>
        <c:majorTickMark val="none"/>
        <c:minorTickMark val="none"/>
        <c:tickLblPos val="nextTo"/>
        <c:txPr>
          <a:bodyPr rot="-5400000" vert="horz"/>
          <a:lstStyle/>
          <a:p>
            <a:pPr>
              <a:defRPr/>
            </a:pPr>
            <a:endParaRPr lang="en-US"/>
          </a:p>
        </c:txPr>
        <c:crossAx val="44493440"/>
        <c:crosses val="autoZero"/>
        <c:auto val="1"/>
        <c:lblAlgn val="ctr"/>
        <c:lblOffset val="100"/>
        <c:noMultiLvlLbl val="0"/>
      </c:catAx>
      <c:valAx>
        <c:axId val="44493440"/>
        <c:scaling>
          <c:orientation val="minMax"/>
        </c:scaling>
        <c:delete val="0"/>
        <c:axPos val="l"/>
        <c:majorGridlines/>
        <c:numFmt formatCode="General" sourceLinked="1"/>
        <c:majorTickMark val="none"/>
        <c:minorTickMark val="none"/>
        <c:tickLblPos val="nextTo"/>
        <c:crossAx val="44491904"/>
        <c:crosses val="autoZero"/>
        <c:crossBetween val="between"/>
      </c:valAx>
    </c:plotArea>
    <c:legend>
      <c:legendPos val="r"/>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GB" sz="1800" b="1" i="0" baseline="0">
                <a:effectLst/>
              </a:rPr>
              <a:t>Claims Finalised 1/09/2020 to 28/02/2021</a:t>
            </a:r>
            <a:endParaRPr lang="en-GB">
              <a:effectLst/>
            </a:endParaRPr>
          </a:p>
        </c:rich>
      </c:tx>
      <c:layout>
        <c:manualLayout>
          <c:xMode val="edge"/>
          <c:yMode val="edge"/>
          <c:x val="0.10701388888888889"/>
          <c:y val="3.5714285714285712E-2"/>
        </c:manualLayout>
      </c:layout>
      <c:overlay val="0"/>
    </c:title>
    <c:autoTitleDeleted val="0"/>
    <c:plotArea>
      <c:layout/>
      <c:barChart>
        <c:barDir val="col"/>
        <c:grouping val="clustered"/>
        <c:varyColors val="0"/>
        <c:ser>
          <c:idx val="0"/>
          <c:order val="0"/>
          <c:tx>
            <c:strRef>
              <c:f>Sheet1!$B$1</c:f>
              <c:strCache>
                <c:ptCount val="1"/>
                <c:pt idx="0">
                  <c:v>Employers Liability </c:v>
                </c:pt>
              </c:strCache>
            </c:strRef>
          </c:tx>
          <c:invertIfNegative val="0"/>
          <c:cat>
            <c:strRef>
              <c:f>Sheet1!$A$2:$A$5</c:f>
              <c:strCache>
                <c:ptCount val="4"/>
                <c:pt idx="0">
                  <c:v>Negotiated Settlement</c:v>
                </c:pt>
                <c:pt idx="1">
                  <c:v>Claimant Won Trial </c:v>
                </c:pt>
                <c:pt idx="2">
                  <c:v>Chief Won Trial</c:v>
                </c:pt>
                <c:pt idx="3">
                  <c:v>Claim Withdrawn </c:v>
                </c:pt>
              </c:strCache>
            </c:strRef>
          </c:cat>
          <c:val>
            <c:numRef>
              <c:f>Sheet1!$B$2:$B$5</c:f>
              <c:numCache>
                <c:formatCode>General</c:formatCode>
                <c:ptCount val="4"/>
                <c:pt idx="0">
                  <c:v>0</c:v>
                </c:pt>
                <c:pt idx="1">
                  <c:v>0</c:v>
                </c:pt>
                <c:pt idx="2">
                  <c:v>0</c:v>
                </c:pt>
                <c:pt idx="3">
                  <c:v>0</c:v>
                </c:pt>
              </c:numCache>
            </c:numRef>
          </c:val>
          <c:extLst>
            <c:ext xmlns:c16="http://schemas.microsoft.com/office/drawing/2014/chart" uri="{C3380CC4-5D6E-409C-BE32-E72D297353CC}">
              <c16:uniqueId val="{00000000-494C-4761-8EEF-31BF44E3FE1E}"/>
            </c:ext>
          </c:extLst>
        </c:ser>
        <c:ser>
          <c:idx val="1"/>
          <c:order val="1"/>
          <c:tx>
            <c:strRef>
              <c:f>Sheet1!$C$1</c:f>
              <c:strCache>
                <c:ptCount val="1"/>
                <c:pt idx="0">
                  <c:v>Public Liability</c:v>
                </c:pt>
              </c:strCache>
            </c:strRef>
          </c:tx>
          <c:invertIfNegative val="0"/>
          <c:cat>
            <c:strRef>
              <c:f>Sheet1!$A$2:$A$5</c:f>
              <c:strCache>
                <c:ptCount val="4"/>
                <c:pt idx="0">
                  <c:v>Negotiated Settlement</c:v>
                </c:pt>
                <c:pt idx="1">
                  <c:v>Claimant Won Trial </c:v>
                </c:pt>
                <c:pt idx="2">
                  <c:v>Chief Won Trial</c:v>
                </c:pt>
                <c:pt idx="3">
                  <c:v>Claim Withdrawn </c:v>
                </c:pt>
              </c:strCache>
            </c:strRef>
          </c:cat>
          <c:val>
            <c:numRef>
              <c:f>Sheet1!$C$2:$C$5</c:f>
              <c:numCache>
                <c:formatCode>General</c:formatCode>
                <c:ptCount val="4"/>
                <c:pt idx="0">
                  <c:v>2</c:v>
                </c:pt>
                <c:pt idx="1">
                  <c:v>0</c:v>
                </c:pt>
                <c:pt idx="2">
                  <c:v>0</c:v>
                </c:pt>
                <c:pt idx="3">
                  <c:v>61</c:v>
                </c:pt>
              </c:numCache>
            </c:numRef>
          </c:val>
          <c:extLst>
            <c:ext xmlns:c16="http://schemas.microsoft.com/office/drawing/2014/chart" uri="{C3380CC4-5D6E-409C-BE32-E72D297353CC}">
              <c16:uniqueId val="{00000001-494C-4761-8EEF-31BF44E3FE1E}"/>
            </c:ext>
          </c:extLst>
        </c:ser>
        <c:ser>
          <c:idx val="2"/>
          <c:order val="2"/>
          <c:tx>
            <c:strRef>
              <c:f>Sheet1!$D$1</c:f>
              <c:strCache>
                <c:ptCount val="1"/>
                <c:pt idx="0">
                  <c:v>Motor Liability </c:v>
                </c:pt>
              </c:strCache>
            </c:strRef>
          </c:tx>
          <c:invertIfNegative val="0"/>
          <c:cat>
            <c:strRef>
              <c:f>Sheet1!$A$2:$A$5</c:f>
              <c:strCache>
                <c:ptCount val="4"/>
                <c:pt idx="0">
                  <c:v>Negotiated Settlement</c:v>
                </c:pt>
                <c:pt idx="1">
                  <c:v>Claimant Won Trial </c:v>
                </c:pt>
                <c:pt idx="2">
                  <c:v>Chief Won Trial</c:v>
                </c:pt>
                <c:pt idx="3">
                  <c:v>Claim Withdrawn </c:v>
                </c:pt>
              </c:strCache>
            </c:strRef>
          </c:cat>
          <c:val>
            <c:numRef>
              <c:f>Sheet1!$D$2:$D$5</c:f>
              <c:numCache>
                <c:formatCode>General</c:formatCode>
                <c:ptCount val="4"/>
                <c:pt idx="0">
                  <c:v>0</c:v>
                </c:pt>
                <c:pt idx="1">
                  <c:v>0</c:v>
                </c:pt>
                <c:pt idx="2">
                  <c:v>0</c:v>
                </c:pt>
                <c:pt idx="3">
                  <c:v>14</c:v>
                </c:pt>
              </c:numCache>
            </c:numRef>
          </c:val>
          <c:extLst>
            <c:ext xmlns:c16="http://schemas.microsoft.com/office/drawing/2014/chart" uri="{C3380CC4-5D6E-409C-BE32-E72D297353CC}">
              <c16:uniqueId val="{00000002-494C-4761-8EEF-31BF44E3FE1E}"/>
            </c:ext>
          </c:extLst>
        </c:ser>
        <c:ser>
          <c:idx val="3"/>
          <c:order val="3"/>
          <c:tx>
            <c:strRef>
              <c:f>Sheet1!$E$1</c:f>
              <c:strCache>
                <c:ptCount val="1"/>
                <c:pt idx="0">
                  <c:v>Non Tribunal Employment Matters</c:v>
                </c:pt>
              </c:strCache>
            </c:strRef>
          </c:tx>
          <c:invertIfNegative val="0"/>
          <c:cat>
            <c:strRef>
              <c:f>Sheet1!$A$2:$A$5</c:f>
              <c:strCache>
                <c:ptCount val="4"/>
                <c:pt idx="0">
                  <c:v>Negotiated Settlement</c:v>
                </c:pt>
                <c:pt idx="1">
                  <c:v>Claimant Won Trial </c:v>
                </c:pt>
                <c:pt idx="2">
                  <c:v>Chief Won Trial</c:v>
                </c:pt>
                <c:pt idx="3">
                  <c:v>Claim Withdrawn </c:v>
                </c:pt>
              </c:strCache>
            </c:strRef>
          </c:cat>
          <c:val>
            <c:numRef>
              <c:f>Sheet1!$E$2:$E$5</c:f>
              <c:numCache>
                <c:formatCode>General</c:formatCode>
                <c:ptCount val="4"/>
                <c:pt idx="0">
                  <c:v>0</c:v>
                </c:pt>
                <c:pt idx="1">
                  <c:v>0</c:v>
                </c:pt>
                <c:pt idx="2">
                  <c:v>0</c:v>
                </c:pt>
                <c:pt idx="3">
                  <c:v>1</c:v>
                </c:pt>
              </c:numCache>
            </c:numRef>
          </c:val>
          <c:extLst>
            <c:ext xmlns:c16="http://schemas.microsoft.com/office/drawing/2014/chart" uri="{C3380CC4-5D6E-409C-BE32-E72D297353CC}">
              <c16:uniqueId val="{00000003-494C-4761-8EEF-31BF44E3FE1E}"/>
            </c:ext>
          </c:extLst>
        </c:ser>
        <c:dLbls>
          <c:showLegendKey val="0"/>
          <c:showVal val="0"/>
          <c:showCatName val="0"/>
          <c:showSerName val="0"/>
          <c:showPercent val="0"/>
          <c:showBubbleSize val="0"/>
        </c:dLbls>
        <c:gapWidth val="150"/>
        <c:axId val="233106048"/>
        <c:axId val="233181568"/>
      </c:barChart>
      <c:catAx>
        <c:axId val="233106048"/>
        <c:scaling>
          <c:orientation val="minMax"/>
        </c:scaling>
        <c:delete val="0"/>
        <c:axPos val="b"/>
        <c:numFmt formatCode="General" sourceLinked="0"/>
        <c:majorTickMark val="none"/>
        <c:minorTickMark val="none"/>
        <c:tickLblPos val="nextTo"/>
        <c:crossAx val="233181568"/>
        <c:crosses val="autoZero"/>
        <c:auto val="1"/>
        <c:lblAlgn val="ctr"/>
        <c:lblOffset val="100"/>
        <c:noMultiLvlLbl val="0"/>
      </c:catAx>
      <c:valAx>
        <c:axId val="233181568"/>
        <c:scaling>
          <c:orientation val="minMax"/>
        </c:scaling>
        <c:delete val="0"/>
        <c:axPos val="l"/>
        <c:majorGridlines/>
        <c:numFmt formatCode="General" sourceLinked="1"/>
        <c:majorTickMark val="none"/>
        <c:minorTickMark val="none"/>
        <c:tickLblPos val="nextTo"/>
        <c:crossAx val="233106048"/>
        <c:crosses val="autoZero"/>
        <c:crossBetween val="between"/>
      </c:valAx>
    </c:plotArea>
    <c:legend>
      <c:legendPos val="r"/>
      <c:layout>
        <c:manualLayout>
          <c:xMode val="edge"/>
          <c:yMode val="edge"/>
          <c:x val="0.7017212326253548"/>
          <c:y val="0.20842903783368544"/>
          <c:w val="0.28448979724785184"/>
          <c:h val="0.73559576851849184"/>
        </c:manualLayout>
      </c:layout>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GB" sz="1800" b="1" i="0" baseline="0">
                <a:effectLst/>
              </a:rPr>
              <a:t>Claims Finalised 28/02/2020 - 31/08/2020</a:t>
            </a:r>
            <a:endParaRPr lang="en-GB">
              <a:effectLst/>
            </a:endParaRPr>
          </a:p>
        </c:rich>
      </c:tx>
      <c:layout>
        <c:manualLayout>
          <c:xMode val="edge"/>
          <c:yMode val="edge"/>
          <c:x val="0.10701388888888889"/>
          <c:y val="3.5714285714285712E-2"/>
        </c:manualLayout>
      </c:layout>
      <c:overlay val="0"/>
    </c:title>
    <c:autoTitleDeleted val="0"/>
    <c:plotArea>
      <c:layout/>
      <c:barChart>
        <c:barDir val="col"/>
        <c:grouping val="clustered"/>
        <c:varyColors val="0"/>
        <c:ser>
          <c:idx val="0"/>
          <c:order val="0"/>
          <c:tx>
            <c:strRef>
              <c:f>Sheet1!$B$1</c:f>
              <c:strCache>
                <c:ptCount val="1"/>
                <c:pt idx="0">
                  <c:v>Employers Liability </c:v>
                </c:pt>
              </c:strCache>
            </c:strRef>
          </c:tx>
          <c:invertIfNegative val="0"/>
          <c:cat>
            <c:strRef>
              <c:f>Sheet1!$A$2:$A$5</c:f>
              <c:strCache>
                <c:ptCount val="4"/>
                <c:pt idx="0">
                  <c:v>Negotiated Settlement</c:v>
                </c:pt>
                <c:pt idx="1">
                  <c:v>Claimant Won Trial </c:v>
                </c:pt>
                <c:pt idx="2">
                  <c:v>Chief Won Trial</c:v>
                </c:pt>
                <c:pt idx="3">
                  <c:v>Claim Withdrawn </c:v>
                </c:pt>
              </c:strCache>
            </c:strRef>
          </c:cat>
          <c:val>
            <c:numRef>
              <c:f>Sheet1!$B$2:$B$5</c:f>
              <c:numCache>
                <c:formatCode>General</c:formatCode>
                <c:ptCount val="4"/>
                <c:pt idx="0">
                  <c:v>0</c:v>
                </c:pt>
                <c:pt idx="1">
                  <c:v>0</c:v>
                </c:pt>
                <c:pt idx="2">
                  <c:v>0</c:v>
                </c:pt>
                <c:pt idx="3">
                  <c:v>2</c:v>
                </c:pt>
              </c:numCache>
            </c:numRef>
          </c:val>
          <c:extLst>
            <c:ext xmlns:c16="http://schemas.microsoft.com/office/drawing/2014/chart" uri="{C3380CC4-5D6E-409C-BE32-E72D297353CC}">
              <c16:uniqueId val="{00000000-5349-459F-A402-A16E4BFA3390}"/>
            </c:ext>
          </c:extLst>
        </c:ser>
        <c:ser>
          <c:idx val="1"/>
          <c:order val="1"/>
          <c:tx>
            <c:strRef>
              <c:f>Sheet1!$C$1</c:f>
              <c:strCache>
                <c:ptCount val="1"/>
                <c:pt idx="0">
                  <c:v>Public Liability</c:v>
                </c:pt>
              </c:strCache>
            </c:strRef>
          </c:tx>
          <c:invertIfNegative val="0"/>
          <c:cat>
            <c:strRef>
              <c:f>Sheet1!$A$2:$A$5</c:f>
              <c:strCache>
                <c:ptCount val="4"/>
                <c:pt idx="0">
                  <c:v>Negotiated Settlement</c:v>
                </c:pt>
                <c:pt idx="1">
                  <c:v>Claimant Won Trial </c:v>
                </c:pt>
                <c:pt idx="2">
                  <c:v>Chief Won Trial</c:v>
                </c:pt>
                <c:pt idx="3">
                  <c:v>Claim Withdrawn </c:v>
                </c:pt>
              </c:strCache>
            </c:strRef>
          </c:cat>
          <c:val>
            <c:numRef>
              <c:f>Sheet1!$C$2:$C$5</c:f>
              <c:numCache>
                <c:formatCode>General</c:formatCode>
                <c:ptCount val="4"/>
                <c:pt idx="0">
                  <c:v>3</c:v>
                </c:pt>
                <c:pt idx="1">
                  <c:v>1</c:v>
                </c:pt>
                <c:pt idx="2">
                  <c:v>2</c:v>
                </c:pt>
                <c:pt idx="3">
                  <c:v>2</c:v>
                </c:pt>
              </c:numCache>
            </c:numRef>
          </c:val>
          <c:extLst>
            <c:ext xmlns:c16="http://schemas.microsoft.com/office/drawing/2014/chart" uri="{C3380CC4-5D6E-409C-BE32-E72D297353CC}">
              <c16:uniqueId val="{00000001-5349-459F-A402-A16E4BFA3390}"/>
            </c:ext>
          </c:extLst>
        </c:ser>
        <c:ser>
          <c:idx val="2"/>
          <c:order val="2"/>
          <c:tx>
            <c:strRef>
              <c:f>Sheet1!$D$1</c:f>
              <c:strCache>
                <c:ptCount val="1"/>
                <c:pt idx="0">
                  <c:v>Motor Liability </c:v>
                </c:pt>
              </c:strCache>
            </c:strRef>
          </c:tx>
          <c:invertIfNegative val="0"/>
          <c:cat>
            <c:strRef>
              <c:f>Sheet1!$A$2:$A$5</c:f>
              <c:strCache>
                <c:ptCount val="4"/>
                <c:pt idx="0">
                  <c:v>Negotiated Settlement</c:v>
                </c:pt>
                <c:pt idx="1">
                  <c:v>Claimant Won Trial </c:v>
                </c:pt>
                <c:pt idx="2">
                  <c:v>Chief Won Trial</c:v>
                </c:pt>
                <c:pt idx="3">
                  <c:v>Claim Withdrawn </c:v>
                </c:pt>
              </c:strCache>
            </c:strRef>
          </c:cat>
          <c:val>
            <c:numRef>
              <c:f>Sheet1!$D$2:$D$5</c:f>
              <c:numCache>
                <c:formatCode>General</c:formatCode>
                <c:ptCount val="4"/>
                <c:pt idx="0">
                  <c:v>2</c:v>
                </c:pt>
                <c:pt idx="1">
                  <c:v>0</c:v>
                </c:pt>
                <c:pt idx="2">
                  <c:v>0</c:v>
                </c:pt>
                <c:pt idx="3">
                  <c:v>0</c:v>
                </c:pt>
              </c:numCache>
            </c:numRef>
          </c:val>
          <c:extLst>
            <c:ext xmlns:c16="http://schemas.microsoft.com/office/drawing/2014/chart" uri="{C3380CC4-5D6E-409C-BE32-E72D297353CC}">
              <c16:uniqueId val="{00000002-5349-459F-A402-A16E4BFA3390}"/>
            </c:ext>
          </c:extLst>
        </c:ser>
        <c:ser>
          <c:idx val="3"/>
          <c:order val="3"/>
          <c:tx>
            <c:strRef>
              <c:f>Sheet1!$E$1</c:f>
              <c:strCache>
                <c:ptCount val="1"/>
                <c:pt idx="0">
                  <c:v>Non Tribunal Employment Matters</c:v>
                </c:pt>
              </c:strCache>
            </c:strRef>
          </c:tx>
          <c:invertIfNegative val="0"/>
          <c:cat>
            <c:strRef>
              <c:f>Sheet1!$A$2:$A$5</c:f>
              <c:strCache>
                <c:ptCount val="4"/>
                <c:pt idx="0">
                  <c:v>Negotiated Settlement</c:v>
                </c:pt>
                <c:pt idx="1">
                  <c:v>Claimant Won Trial </c:v>
                </c:pt>
                <c:pt idx="2">
                  <c:v>Chief Won Trial</c:v>
                </c:pt>
                <c:pt idx="3">
                  <c:v>Claim Withdrawn </c:v>
                </c:pt>
              </c:strCache>
            </c:strRef>
          </c:cat>
          <c:val>
            <c:numRef>
              <c:f>Sheet1!$E$2:$E$5</c:f>
              <c:numCache>
                <c:formatCode>General</c:formatCode>
                <c:ptCount val="4"/>
                <c:pt idx="0">
                  <c:v>2</c:v>
                </c:pt>
                <c:pt idx="1">
                  <c:v>0</c:v>
                </c:pt>
                <c:pt idx="2">
                  <c:v>0</c:v>
                </c:pt>
                <c:pt idx="3">
                  <c:v>0</c:v>
                </c:pt>
              </c:numCache>
            </c:numRef>
          </c:val>
          <c:extLst>
            <c:ext xmlns:c16="http://schemas.microsoft.com/office/drawing/2014/chart" uri="{C3380CC4-5D6E-409C-BE32-E72D297353CC}">
              <c16:uniqueId val="{00000003-5349-459F-A402-A16E4BFA3390}"/>
            </c:ext>
          </c:extLst>
        </c:ser>
        <c:dLbls>
          <c:showLegendKey val="0"/>
          <c:showVal val="0"/>
          <c:showCatName val="0"/>
          <c:showSerName val="0"/>
          <c:showPercent val="0"/>
          <c:showBubbleSize val="0"/>
        </c:dLbls>
        <c:gapWidth val="150"/>
        <c:axId val="233208448"/>
        <c:axId val="233210240"/>
      </c:barChart>
      <c:catAx>
        <c:axId val="233208448"/>
        <c:scaling>
          <c:orientation val="minMax"/>
        </c:scaling>
        <c:delete val="0"/>
        <c:axPos val="b"/>
        <c:numFmt formatCode="General" sourceLinked="0"/>
        <c:majorTickMark val="none"/>
        <c:minorTickMark val="none"/>
        <c:tickLblPos val="nextTo"/>
        <c:crossAx val="233210240"/>
        <c:crosses val="autoZero"/>
        <c:auto val="1"/>
        <c:lblAlgn val="ctr"/>
        <c:lblOffset val="100"/>
        <c:noMultiLvlLbl val="0"/>
      </c:catAx>
      <c:valAx>
        <c:axId val="233210240"/>
        <c:scaling>
          <c:orientation val="minMax"/>
        </c:scaling>
        <c:delete val="0"/>
        <c:axPos val="l"/>
        <c:majorGridlines/>
        <c:numFmt formatCode="General" sourceLinked="1"/>
        <c:majorTickMark val="none"/>
        <c:minorTickMark val="none"/>
        <c:tickLblPos val="nextTo"/>
        <c:crossAx val="233208448"/>
        <c:crosses val="autoZero"/>
        <c:crossBetween val="between"/>
      </c:valAx>
    </c:plotArea>
    <c:legend>
      <c:legendPos val="r"/>
      <c:overlay val="0"/>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Sum</a:t>
            </a:r>
            <a:r>
              <a:rPr lang="en-US" baseline="0"/>
              <a:t>s Paid out on Finalised Cases</a:t>
            </a:r>
            <a:endParaRPr lang="en-US"/>
          </a:p>
        </c:rich>
      </c:tx>
      <c:overlay val="0"/>
    </c:title>
    <c:autoTitleDeleted val="0"/>
    <c:plotArea>
      <c:layout/>
      <c:pieChart>
        <c:varyColors val="1"/>
        <c:ser>
          <c:idx val="0"/>
          <c:order val="0"/>
          <c:tx>
            <c:strRef>
              <c:f>Sheet1!$B$1</c:f>
              <c:strCache>
                <c:ptCount val="1"/>
                <c:pt idx="0">
                  <c:v>Sales</c:v>
                </c:pt>
              </c:strCache>
            </c:strRef>
          </c:tx>
          <c:dLbls>
            <c:dLbl>
              <c:idx val="0"/>
              <c:layout>
                <c:manualLayout>
                  <c:x val="0.30946121318168551"/>
                  <c:y val="0.15457573219126244"/>
                </c:manualLayout>
              </c:layout>
              <c:tx>
                <c:rich>
                  <a:bodyPr/>
                  <a:lstStyle/>
                  <a:p>
                    <a:r>
                      <a:rPr lang="en-US"/>
                      <a:t>Employers liability 
£0	</a:t>
                    </a:r>
                  </a:p>
                </c:rich>
              </c:tx>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0-139C-47E4-865C-D01B47346558}"/>
                </c:ext>
              </c:extLst>
            </c:dLbl>
            <c:dLbl>
              <c:idx val="1"/>
              <c:layout>
                <c:manualLayout>
                  <c:x val="-0.11372739865850102"/>
                  <c:y val="-0.19607791175301445"/>
                </c:manualLayout>
              </c:layout>
              <c:tx>
                <c:rich>
                  <a:bodyPr/>
                  <a:lstStyle/>
                  <a:p>
                    <a:r>
                      <a:rPr lang="en-US"/>
                      <a:t>Public Liability 
</a:t>
                    </a:r>
                    <a:r>
                      <a:rPr lang="en-US" sz="1000" b="0" i="0" u="none" strike="noStrike" baseline="0">
                        <a:effectLst/>
                      </a:rPr>
                      <a:t>£2,000</a:t>
                    </a:r>
                    <a:endParaRPr lang="en-US"/>
                  </a:p>
                  <a:p>
                    <a:endParaRPr lang="en-US"/>
                  </a:p>
                </c:rich>
              </c:tx>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139C-47E4-865C-D01B47346558}"/>
                </c:ext>
              </c:extLst>
            </c:dLbl>
            <c:dLbl>
              <c:idx val="2"/>
              <c:layout>
                <c:manualLayout>
                  <c:x val="7.5895304753572465E-2"/>
                  <c:y val="0.14260914090906029"/>
                </c:manualLayout>
              </c:layout>
              <c:tx>
                <c:rich>
                  <a:bodyPr/>
                  <a:lstStyle/>
                  <a:p>
                    <a:r>
                      <a:rPr lang="en-US">
                        <a:solidFill>
                          <a:sysClr val="windowText" lastClr="000000"/>
                        </a:solidFill>
                      </a:rPr>
                      <a:t>Motor Liability 
           £300	</a:t>
                    </a:r>
                  </a:p>
                  <a:p>
                    <a:endParaRPr lang="en-US"/>
                  </a:p>
                </c:rich>
              </c:tx>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2-139C-47E4-865C-D01B47346558}"/>
                </c:ext>
              </c:extLst>
            </c:dLbl>
            <c:dLbl>
              <c:idx val="3"/>
              <c:layout>
                <c:manualLayout>
                  <c:x val="-0.27992891513560808"/>
                  <c:y val="0.42738814165691608"/>
                </c:manualLayout>
              </c:layout>
              <c:tx>
                <c:rich>
                  <a:bodyPr/>
                  <a:lstStyle/>
                  <a:p>
                    <a:r>
                      <a:rPr lang="en-US"/>
                      <a:t>Non Tribunal Employment Matters 
£0</a:t>
                    </a:r>
                  </a:p>
                </c:rich>
              </c:tx>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139C-47E4-865C-D01B47346558}"/>
                </c:ext>
              </c:extLst>
            </c:dLbl>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Ref>
              <c:f>Sheet1!$A$2:$A$5</c:f>
              <c:strCache>
                <c:ptCount val="4"/>
                <c:pt idx="0">
                  <c:v>Employers liability </c:v>
                </c:pt>
                <c:pt idx="1">
                  <c:v>Public Liability </c:v>
                </c:pt>
                <c:pt idx="2">
                  <c:v>Motor Liability </c:v>
                </c:pt>
                <c:pt idx="3">
                  <c:v>Non Tribunal Employment Matters </c:v>
                </c:pt>
              </c:strCache>
            </c:strRef>
          </c:cat>
          <c:val>
            <c:numRef>
              <c:f>Sheet1!$B$2:$B$5</c:f>
              <c:numCache>
                <c:formatCode>"£"#,##0.00_);[Red]\("£"#,##0.00\)</c:formatCode>
                <c:ptCount val="4"/>
                <c:pt idx="0">
                  <c:v>0</c:v>
                </c:pt>
                <c:pt idx="1">
                  <c:v>2000</c:v>
                </c:pt>
                <c:pt idx="2">
                  <c:v>300</c:v>
                </c:pt>
                <c:pt idx="3" formatCode="#,##0.00">
                  <c:v>0</c:v>
                </c:pt>
              </c:numCache>
            </c:numRef>
          </c:val>
          <c:extLst>
            <c:ext xmlns:c16="http://schemas.microsoft.com/office/drawing/2014/chart" uri="{C3380CC4-5D6E-409C-BE32-E72D297353CC}">
              <c16:uniqueId val="{00000004-139C-47E4-865C-D01B47346558}"/>
            </c:ext>
          </c:extLst>
        </c:ser>
        <c:dLbls>
          <c:showLegendKey val="0"/>
          <c:showVal val="0"/>
          <c:showCatName val="1"/>
          <c:showSerName val="0"/>
          <c:showPercent val="1"/>
          <c:showBubbleSize val="0"/>
          <c:showLeaderLines val="1"/>
        </c:dLbls>
        <c:firstSliceAng val="0"/>
      </c:pieChart>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CD7C90-BC12-4D01-B90C-D164FEA6CB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2503</Words>
  <Characters>14268</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Cleveland Police</Company>
  <LinksUpToDate>false</LinksUpToDate>
  <CharactersWithSpaces>16738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LANGHAM, Hannah (C8818)</dc:creator>
  <cp:lastModifiedBy>GLEESON, Joanne (C8545)</cp:lastModifiedBy>
  <cp:revision>2</cp:revision>
  <dcterms:created xsi:type="dcterms:W3CDTF">2021-06-07T13:50:00Z</dcterms:created>
  <dcterms:modified xsi:type="dcterms:W3CDTF">2021-06-07T13:50:00Z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54a3d738-87e7-414f-bf77-d730ed808471</vt:lpwstr>
  </property>
  <property fmtid="{D5CDD505-2E9C-101B-9397-08002B2CF9AE}" pid="3" name="MSIP_Label_431b7639-1bea-4e62-9a4e-16db8092c254_Enabled">
    <vt:lpwstr>true</vt:lpwstr>
  </property>
  <property fmtid="{D5CDD505-2E9C-101B-9397-08002B2CF9AE}" pid="4" name="MSIP_Label_431b7639-1bea-4e62-9a4e-16db8092c254_SetDate">
    <vt:lpwstr>2021-06-02T14:05:20Z</vt:lpwstr>
  </property>
  <property fmtid="{D5CDD505-2E9C-101B-9397-08002B2CF9AE}" pid="5" name="MSIP_Label_431b7639-1bea-4e62-9a4e-16db8092c254_Method">
    <vt:lpwstr>Standard</vt:lpwstr>
  </property>
  <property fmtid="{D5CDD505-2E9C-101B-9397-08002B2CF9AE}" pid="6" name="MSIP_Label_431b7639-1bea-4e62-9a4e-16db8092c254_Name">
    <vt:lpwstr>OFFICIAL</vt:lpwstr>
  </property>
  <property fmtid="{D5CDD505-2E9C-101B-9397-08002B2CF9AE}" pid="7" name="MSIP_Label_431b7639-1bea-4e62-9a4e-16db8092c254_SiteId">
    <vt:lpwstr>d9f19db2-65c6-4c0b-aecf-45abeba37c6f</vt:lpwstr>
  </property>
  <property fmtid="{D5CDD505-2E9C-101B-9397-08002B2CF9AE}" pid="8" name="MSIP_Label_431b7639-1bea-4e62-9a4e-16db8092c254_ActionId">
    <vt:lpwstr>ea405af7-78ab-4598-b126-24efaa4eb018</vt:lpwstr>
  </property>
  <property fmtid="{D5CDD505-2E9C-101B-9397-08002B2CF9AE}" pid="9" name="MSIP_Label_431b7639-1bea-4e62-9a4e-16db8092c254_ContentBits">
    <vt:lpwstr>0</vt:lpwstr>
  </property>
  <property fmtid="{D5CDD505-2E9C-101B-9397-08002B2CF9AE}" pid="10" name="Classification">
    <vt:lpwstr>OFFICIAL</vt:lpwstr>
  </property>
</Properties>
</file>